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ED42F5" w14:textId="77777777" w:rsidR="00155EE6" w:rsidRPr="00FF57C1" w:rsidRDefault="00155EE6" w:rsidP="007421F2">
      <w:pPr>
        <w:pStyle w:val="ae"/>
        <w:overflowPunct w:val="0"/>
        <w:spacing w:after="120" w:line="500" w:lineRule="exact"/>
        <w:rPr>
          <w:rFonts w:ascii="標楷體" w:hAnsi="標楷體"/>
          <w:b w:val="0"/>
        </w:rPr>
      </w:pPr>
      <w:r w:rsidRPr="00FF57C1">
        <w:rPr>
          <w:rFonts w:ascii="標楷體" w:hAnsi="標楷體" w:hint="eastAsia"/>
          <w:lang w:eastAsia="zh-HK"/>
        </w:rPr>
        <w:t>貳</w:t>
      </w:r>
      <w:r w:rsidRPr="00FF57C1">
        <w:rPr>
          <w:rFonts w:ascii="標楷體" w:hAnsi="標楷體" w:hint="eastAsia"/>
        </w:rPr>
        <w:t>、盈虧撥補之審核</w:t>
      </w:r>
    </w:p>
    <w:p w14:paraId="7E2E8E70" w14:textId="260792D2" w:rsidR="00155EE6" w:rsidRPr="00FF57C1" w:rsidRDefault="007433DB" w:rsidP="007421F2">
      <w:pPr>
        <w:spacing w:line="500" w:lineRule="exact"/>
        <w:ind w:firstLineChars="200" w:firstLine="552"/>
        <w:jc w:val="both"/>
        <w:rPr>
          <w:rFonts w:ascii="標楷體" w:hAnsi="標楷體"/>
          <w:spacing w:val="-2"/>
          <w:sz w:val="28"/>
          <w:szCs w:val="28"/>
        </w:rPr>
      </w:pPr>
      <w:proofErr w:type="gramStart"/>
      <w:r w:rsidRPr="00FF57C1">
        <w:rPr>
          <w:rFonts w:ascii="標楷體" w:hAnsi="標楷體" w:hint="eastAsia"/>
          <w:spacing w:val="-2"/>
          <w:sz w:val="28"/>
          <w:szCs w:val="28"/>
        </w:rPr>
        <w:t>1</w:t>
      </w:r>
      <w:r>
        <w:rPr>
          <w:rFonts w:ascii="標楷體" w:hAnsi="標楷體" w:hint="eastAsia"/>
          <w:spacing w:val="-2"/>
          <w:sz w:val="28"/>
          <w:szCs w:val="28"/>
        </w:rPr>
        <w:t>10</w:t>
      </w:r>
      <w:proofErr w:type="gramEnd"/>
      <w:r w:rsidRPr="00FF57C1">
        <w:rPr>
          <w:rFonts w:ascii="標楷體" w:hAnsi="標楷體" w:hint="eastAsia"/>
          <w:spacing w:val="-2"/>
          <w:sz w:val="28"/>
          <w:szCs w:val="28"/>
        </w:rPr>
        <w:t>年度15</w:t>
      </w:r>
      <w:r w:rsidRPr="00FF57C1">
        <w:rPr>
          <w:rFonts w:ascii="標楷體" w:hAnsi="標楷體" w:hint="eastAsia"/>
          <w:spacing w:val="-2"/>
          <w:sz w:val="28"/>
          <w:szCs w:val="28"/>
          <w:lang w:eastAsia="zh-HK"/>
        </w:rPr>
        <w:t>家</w:t>
      </w:r>
      <w:r w:rsidRPr="00FF57C1">
        <w:rPr>
          <w:rFonts w:ascii="標楷體" w:hAnsi="標楷體" w:hint="eastAsia"/>
          <w:spacing w:val="-2"/>
          <w:sz w:val="28"/>
          <w:szCs w:val="28"/>
        </w:rPr>
        <w:t>國營事業</w:t>
      </w:r>
      <w:r w:rsidRPr="00FF57C1">
        <w:rPr>
          <w:rFonts w:ascii="標楷體" w:hAnsi="標楷體" w:hint="eastAsia"/>
          <w:spacing w:val="-2"/>
          <w:sz w:val="28"/>
          <w:szCs w:val="28"/>
          <w:lang w:eastAsia="zh-HK"/>
        </w:rPr>
        <w:t>之</w:t>
      </w:r>
      <w:r w:rsidRPr="00FF57C1">
        <w:rPr>
          <w:rFonts w:ascii="標楷體" w:hAnsi="標楷體" w:hint="eastAsia"/>
          <w:spacing w:val="-2"/>
          <w:sz w:val="28"/>
          <w:szCs w:val="28"/>
        </w:rPr>
        <w:t>預算編列可分配盈餘2,</w:t>
      </w:r>
      <w:r>
        <w:rPr>
          <w:rFonts w:ascii="標楷體" w:hAnsi="標楷體" w:hint="eastAsia"/>
          <w:spacing w:val="-2"/>
          <w:sz w:val="28"/>
          <w:szCs w:val="28"/>
        </w:rPr>
        <w:t>748</w:t>
      </w:r>
      <w:r w:rsidRPr="00FF57C1">
        <w:rPr>
          <w:rFonts w:ascii="標楷體" w:hAnsi="標楷體" w:hint="eastAsia"/>
          <w:spacing w:val="-2"/>
          <w:sz w:val="28"/>
          <w:szCs w:val="28"/>
        </w:rPr>
        <w:t>億餘元，累積虧損</w:t>
      </w:r>
      <w:r>
        <w:rPr>
          <w:rFonts w:ascii="標楷體" w:hAnsi="標楷體" w:hint="eastAsia"/>
          <w:spacing w:val="-2"/>
          <w:sz w:val="28"/>
          <w:szCs w:val="28"/>
        </w:rPr>
        <w:t>1</w:t>
      </w:r>
      <w:r w:rsidRPr="00FF57C1">
        <w:rPr>
          <w:rFonts w:ascii="標楷體" w:hAnsi="標楷體" w:hint="eastAsia"/>
          <w:spacing w:val="-2"/>
          <w:sz w:val="28"/>
          <w:szCs w:val="28"/>
        </w:rPr>
        <w:t>,</w:t>
      </w:r>
      <w:r>
        <w:rPr>
          <w:rFonts w:ascii="標楷體" w:hAnsi="標楷體" w:hint="eastAsia"/>
          <w:spacing w:val="-2"/>
          <w:sz w:val="28"/>
          <w:szCs w:val="28"/>
        </w:rPr>
        <w:t>857</w:t>
      </w:r>
      <w:r w:rsidRPr="00FF57C1">
        <w:rPr>
          <w:rFonts w:ascii="標楷體" w:hAnsi="標楷體" w:hint="eastAsia"/>
          <w:spacing w:val="-2"/>
          <w:sz w:val="28"/>
          <w:szCs w:val="28"/>
        </w:rPr>
        <w:t>億餘元加計</w:t>
      </w:r>
      <w:proofErr w:type="gramStart"/>
      <w:r w:rsidRPr="00FF57C1">
        <w:rPr>
          <w:rFonts w:ascii="標楷體" w:hAnsi="標楷體" w:hint="eastAsia"/>
          <w:spacing w:val="-2"/>
          <w:sz w:val="28"/>
          <w:szCs w:val="28"/>
        </w:rPr>
        <w:t>1</w:t>
      </w:r>
      <w:r>
        <w:rPr>
          <w:rFonts w:ascii="標楷體" w:hAnsi="標楷體" w:hint="eastAsia"/>
          <w:spacing w:val="-2"/>
          <w:sz w:val="28"/>
          <w:szCs w:val="28"/>
        </w:rPr>
        <w:t>10</w:t>
      </w:r>
      <w:proofErr w:type="gramEnd"/>
      <w:r w:rsidRPr="00FF57C1">
        <w:rPr>
          <w:rFonts w:ascii="標楷體" w:hAnsi="標楷體" w:hint="eastAsia"/>
          <w:spacing w:val="-2"/>
          <w:sz w:val="28"/>
          <w:szCs w:val="28"/>
          <w:lang w:eastAsia="zh-HK"/>
        </w:rPr>
        <w:t>年度</w:t>
      </w:r>
      <w:r w:rsidRPr="00FF57C1">
        <w:rPr>
          <w:rFonts w:ascii="標楷體" w:hAnsi="標楷體" w:hint="eastAsia"/>
          <w:spacing w:val="-2"/>
          <w:sz w:val="28"/>
          <w:szCs w:val="28"/>
        </w:rPr>
        <w:t>淨損</w:t>
      </w:r>
      <w:r>
        <w:rPr>
          <w:rFonts w:ascii="標楷體" w:hAnsi="標楷體" w:hint="eastAsia"/>
          <w:spacing w:val="-2"/>
          <w:sz w:val="28"/>
          <w:szCs w:val="28"/>
        </w:rPr>
        <w:t>38</w:t>
      </w:r>
      <w:r w:rsidRPr="00FF57C1">
        <w:rPr>
          <w:rFonts w:ascii="標楷體" w:hAnsi="標楷體" w:hint="eastAsia"/>
          <w:spacing w:val="-2"/>
          <w:sz w:val="28"/>
          <w:szCs w:val="28"/>
        </w:rPr>
        <w:t>億餘元及其他綜合損益轉入數</w:t>
      </w:r>
      <w:r>
        <w:rPr>
          <w:rFonts w:ascii="標楷體" w:hAnsi="標楷體" w:hint="eastAsia"/>
          <w:spacing w:val="-2"/>
          <w:sz w:val="28"/>
          <w:szCs w:val="28"/>
        </w:rPr>
        <w:t>12</w:t>
      </w:r>
      <w:r w:rsidRPr="00FF57C1">
        <w:rPr>
          <w:rFonts w:ascii="標楷體" w:hAnsi="標楷體" w:hint="eastAsia"/>
          <w:spacing w:val="-2"/>
          <w:sz w:val="28"/>
          <w:szCs w:val="28"/>
        </w:rPr>
        <w:t>億餘元</w:t>
      </w:r>
      <w:r>
        <w:rPr>
          <w:rFonts w:ascii="標楷體" w:hAnsi="標楷體" w:hint="eastAsia"/>
          <w:spacing w:val="-2"/>
          <w:sz w:val="28"/>
          <w:szCs w:val="28"/>
        </w:rPr>
        <w:t>，合計1</w:t>
      </w:r>
      <w:r w:rsidRPr="00FF57C1">
        <w:rPr>
          <w:rFonts w:ascii="標楷體" w:hAnsi="標楷體" w:hint="eastAsia"/>
          <w:spacing w:val="-2"/>
          <w:sz w:val="28"/>
          <w:szCs w:val="28"/>
        </w:rPr>
        <w:t>,</w:t>
      </w:r>
      <w:r>
        <w:rPr>
          <w:rFonts w:ascii="標楷體" w:hAnsi="標楷體" w:hint="eastAsia"/>
          <w:spacing w:val="-2"/>
          <w:sz w:val="28"/>
          <w:szCs w:val="28"/>
        </w:rPr>
        <w:t>907</w:t>
      </w:r>
      <w:r w:rsidRPr="00FF57C1">
        <w:rPr>
          <w:rFonts w:ascii="標楷體" w:hAnsi="標楷體" w:hint="eastAsia"/>
          <w:spacing w:val="-2"/>
          <w:sz w:val="28"/>
          <w:szCs w:val="28"/>
        </w:rPr>
        <w:t>億餘元，行政院彙編中央政府總決算附屬單位決算及綜計表營業部分核定可分配盈餘3,</w:t>
      </w:r>
      <w:r>
        <w:rPr>
          <w:rFonts w:ascii="標楷體" w:hAnsi="標楷體" w:hint="eastAsia"/>
          <w:spacing w:val="-2"/>
          <w:sz w:val="28"/>
          <w:szCs w:val="28"/>
        </w:rPr>
        <w:t>603</w:t>
      </w:r>
      <w:r w:rsidRPr="00FF57C1">
        <w:rPr>
          <w:rFonts w:ascii="標楷體" w:hAnsi="標楷體" w:hint="eastAsia"/>
          <w:spacing w:val="-2"/>
          <w:sz w:val="28"/>
          <w:szCs w:val="28"/>
        </w:rPr>
        <w:t>億餘元，累積虧損</w:t>
      </w:r>
      <w:r>
        <w:rPr>
          <w:rFonts w:ascii="標楷體" w:hAnsi="標楷體" w:hint="eastAsia"/>
          <w:spacing w:val="-2"/>
          <w:sz w:val="28"/>
          <w:szCs w:val="28"/>
        </w:rPr>
        <w:t>1</w:t>
      </w:r>
      <w:r w:rsidRPr="00FF57C1">
        <w:rPr>
          <w:rFonts w:ascii="標楷體" w:hAnsi="標楷體" w:hint="eastAsia"/>
          <w:spacing w:val="-2"/>
          <w:sz w:val="28"/>
          <w:szCs w:val="28"/>
        </w:rPr>
        <w:t>,</w:t>
      </w:r>
      <w:r>
        <w:rPr>
          <w:rFonts w:ascii="標楷體" w:hAnsi="標楷體" w:hint="eastAsia"/>
          <w:spacing w:val="-2"/>
          <w:sz w:val="28"/>
          <w:szCs w:val="28"/>
        </w:rPr>
        <w:t>940</w:t>
      </w:r>
      <w:r w:rsidRPr="00FF57C1">
        <w:rPr>
          <w:rFonts w:ascii="標楷體" w:hAnsi="標楷體" w:hint="eastAsia"/>
          <w:spacing w:val="-2"/>
          <w:sz w:val="28"/>
          <w:szCs w:val="28"/>
        </w:rPr>
        <w:t>億餘元加計</w:t>
      </w:r>
      <w:proofErr w:type="gramStart"/>
      <w:r w:rsidRPr="00FF57C1">
        <w:rPr>
          <w:rFonts w:ascii="標楷體" w:hAnsi="標楷體" w:hint="eastAsia"/>
          <w:spacing w:val="-2"/>
          <w:sz w:val="28"/>
          <w:szCs w:val="28"/>
        </w:rPr>
        <w:t>1</w:t>
      </w:r>
      <w:r>
        <w:rPr>
          <w:rFonts w:ascii="標楷體" w:hAnsi="標楷體" w:hint="eastAsia"/>
          <w:spacing w:val="-2"/>
          <w:sz w:val="28"/>
          <w:szCs w:val="28"/>
        </w:rPr>
        <w:t>10</w:t>
      </w:r>
      <w:proofErr w:type="gramEnd"/>
      <w:r w:rsidRPr="00FF57C1">
        <w:rPr>
          <w:rFonts w:ascii="標楷體" w:hAnsi="標楷體" w:hint="eastAsia"/>
          <w:spacing w:val="-2"/>
          <w:sz w:val="28"/>
          <w:szCs w:val="28"/>
          <w:lang w:eastAsia="zh-HK"/>
        </w:rPr>
        <w:t>年度</w:t>
      </w:r>
      <w:r w:rsidRPr="00FF57C1">
        <w:rPr>
          <w:rFonts w:ascii="標楷體" w:hAnsi="標楷體" w:hint="eastAsia"/>
          <w:spacing w:val="-2"/>
          <w:sz w:val="28"/>
          <w:szCs w:val="28"/>
        </w:rPr>
        <w:t>淨損</w:t>
      </w:r>
      <w:r>
        <w:rPr>
          <w:rFonts w:ascii="標楷體" w:hAnsi="標楷體" w:hint="eastAsia"/>
          <w:spacing w:val="-2"/>
          <w:sz w:val="28"/>
          <w:szCs w:val="28"/>
        </w:rPr>
        <w:t>556</w:t>
      </w:r>
      <w:r w:rsidRPr="00FF57C1">
        <w:rPr>
          <w:rFonts w:ascii="標楷體" w:hAnsi="標楷體" w:hint="eastAsia"/>
          <w:spacing w:val="-2"/>
          <w:sz w:val="28"/>
          <w:szCs w:val="28"/>
        </w:rPr>
        <w:t>億餘元及其他綜合損益轉入數</w:t>
      </w:r>
      <w:r>
        <w:rPr>
          <w:rFonts w:ascii="標楷體" w:hAnsi="標楷體" w:hint="eastAsia"/>
          <w:spacing w:val="-2"/>
          <w:sz w:val="28"/>
          <w:szCs w:val="28"/>
        </w:rPr>
        <w:t>38</w:t>
      </w:r>
      <w:r w:rsidRPr="00FF57C1">
        <w:rPr>
          <w:rFonts w:ascii="標楷體" w:hAnsi="標楷體" w:hint="eastAsia"/>
          <w:spacing w:val="-2"/>
          <w:sz w:val="28"/>
          <w:szCs w:val="28"/>
        </w:rPr>
        <w:t>億餘元</w:t>
      </w:r>
      <w:r>
        <w:rPr>
          <w:rFonts w:ascii="標楷體" w:hAnsi="標楷體" w:hint="eastAsia"/>
          <w:spacing w:val="-2"/>
          <w:sz w:val="28"/>
          <w:szCs w:val="28"/>
        </w:rPr>
        <w:t>，合計</w:t>
      </w:r>
      <w:r w:rsidRPr="00FF57C1">
        <w:rPr>
          <w:rFonts w:ascii="標楷體" w:hAnsi="標楷體" w:hint="eastAsia"/>
          <w:spacing w:val="-2"/>
          <w:sz w:val="28"/>
          <w:szCs w:val="28"/>
        </w:rPr>
        <w:t>2,</w:t>
      </w:r>
      <w:r>
        <w:rPr>
          <w:rFonts w:ascii="標楷體" w:hAnsi="標楷體" w:hint="eastAsia"/>
          <w:spacing w:val="-2"/>
          <w:sz w:val="28"/>
          <w:szCs w:val="28"/>
        </w:rPr>
        <w:t>534</w:t>
      </w:r>
      <w:r w:rsidRPr="00FF57C1">
        <w:rPr>
          <w:rFonts w:ascii="標楷體" w:hAnsi="標楷體" w:hint="eastAsia"/>
          <w:spacing w:val="-2"/>
          <w:sz w:val="28"/>
          <w:szCs w:val="28"/>
        </w:rPr>
        <w:t>億餘元，經審核結果，審定可分配盈餘3,</w:t>
      </w:r>
      <w:r>
        <w:rPr>
          <w:rFonts w:ascii="標楷體" w:hAnsi="標楷體" w:hint="eastAsia"/>
          <w:spacing w:val="-2"/>
          <w:sz w:val="28"/>
          <w:szCs w:val="28"/>
        </w:rPr>
        <w:t>598</w:t>
      </w:r>
      <w:r w:rsidRPr="00FF57C1">
        <w:rPr>
          <w:rFonts w:ascii="標楷體" w:hAnsi="標楷體" w:hint="eastAsia"/>
          <w:spacing w:val="-2"/>
          <w:sz w:val="28"/>
          <w:szCs w:val="28"/>
        </w:rPr>
        <w:t>億餘元，累積虧損</w:t>
      </w:r>
      <w:r>
        <w:rPr>
          <w:rFonts w:ascii="標楷體" w:hAnsi="標楷體" w:hint="eastAsia"/>
          <w:spacing w:val="-2"/>
          <w:sz w:val="28"/>
          <w:szCs w:val="28"/>
        </w:rPr>
        <w:t>1</w:t>
      </w:r>
      <w:r w:rsidRPr="00FF57C1">
        <w:rPr>
          <w:rFonts w:ascii="標楷體" w:hAnsi="標楷體" w:hint="eastAsia"/>
          <w:spacing w:val="-2"/>
          <w:sz w:val="28"/>
          <w:szCs w:val="28"/>
        </w:rPr>
        <w:t>,</w:t>
      </w:r>
      <w:r>
        <w:rPr>
          <w:rFonts w:ascii="標楷體" w:hAnsi="標楷體" w:hint="eastAsia"/>
          <w:spacing w:val="-2"/>
          <w:sz w:val="28"/>
          <w:szCs w:val="28"/>
        </w:rPr>
        <w:t>940</w:t>
      </w:r>
      <w:r w:rsidRPr="00FF57C1">
        <w:rPr>
          <w:rFonts w:ascii="標楷體" w:hAnsi="標楷體" w:hint="eastAsia"/>
          <w:spacing w:val="-2"/>
          <w:sz w:val="28"/>
          <w:szCs w:val="28"/>
        </w:rPr>
        <w:t>億餘元加計</w:t>
      </w:r>
      <w:proofErr w:type="gramStart"/>
      <w:r w:rsidRPr="00FF57C1">
        <w:rPr>
          <w:rFonts w:ascii="標楷體" w:hAnsi="標楷體" w:hint="eastAsia"/>
          <w:spacing w:val="-2"/>
          <w:sz w:val="28"/>
          <w:szCs w:val="28"/>
        </w:rPr>
        <w:t>1</w:t>
      </w:r>
      <w:r>
        <w:rPr>
          <w:rFonts w:ascii="標楷體" w:hAnsi="標楷體" w:hint="eastAsia"/>
          <w:spacing w:val="-2"/>
          <w:sz w:val="28"/>
          <w:szCs w:val="28"/>
        </w:rPr>
        <w:t>10</w:t>
      </w:r>
      <w:proofErr w:type="gramEnd"/>
      <w:r w:rsidRPr="00FF57C1">
        <w:rPr>
          <w:rFonts w:ascii="標楷體" w:hAnsi="標楷體" w:hint="eastAsia"/>
          <w:spacing w:val="-2"/>
          <w:sz w:val="28"/>
          <w:szCs w:val="28"/>
          <w:lang w:eastAsia="zh-HK"/>
        </w:rPr>
        <w:t>年度</w:t>
      </w:r>
      <w:r w:rsidRPr="00FF57C1">
        <w:rPr>
          <w:rFonts w:ascii="標楷體" w:hAnsi="標楷體" w:hint="eastAsia"/>
          <w:spacing w:val="-2"/>
          <w:sz w:val="28"/>
          <w:szCs w:val="28"/>
        </w:rPr>
        <w:t>淨損</w:t>
      </w:r>
      <w:r>
        <w:rPr>
          <w:rFonts w:ascii="標楷體" w:hAnsi="標楷體" w:hint="eastAsia"/>
          <w:spacing w:val="-2"/>
          <w:sz w:val="28"/>
          <w:szCs w:val="28"/>
        </w:rPr>
        <w:t>556</w:t>
      </w:r>
      <w:r w:rsidRPr="00FF57C1">
        <w:rPr>
          <w:rFonts w:ascii="標楷體" w:hAnsi="標楷體" w:hint="eastAsia"/>
          <w:spacing w:val="-2"/>
          <w:sz w:val="28"/>
          <w:szCs w:val="28"/>
        </w:rPr>
        <w:t>億餘元及其他綜合損益轉入數</w:t>
      </w:r>
      <w:r>
        <w:rPr>
          <w:rFonts w:ascii="標楷體" w:hAnsi="標楷體" w:hint="eastAsia"/>
          <w:spacing w:val="-2"/>
          <w:sz w:val="28"/>
          <w:szCs w:val="28"/>
        </w:rPr>
        <w:t>46</w:t>
      </w:r>
      <w:r w:rsidRPr="00FF57C1">
        <w:rPr>
          <w:rFonts w:ascii="標楷體" w:hAnsi="標楷體" w:hint="eastAsia"/>
          <w:spacing w:val="-2"/>
          <w:sz w:val="28"/>
          <w:szCs w:val="28"/>
        </w:rPr>
        <w:t>億餘元</w:t>
      </w:r>
      <w:r>
        <w:rPr>
          <w:rFonts w:ascii="標楷體" w:hAnsi="標楷體" w:hint="eastAsia"/>
          <w:spacing w:val="-2"/>
          <w:sz w:val="28"/>
          <w:szCs w:val="28"/>
        </w:rPr>
        <w:t>，合計</w:t>
      </w:r>
      <w:r w:rsidRPr="00FF57C1">
        <w:rPr>
          <w:rFonts w:ascii="標楷體" w:hAnsi="標楷體" w:hint="eastAsia"/>
          <w:spacing w:val="-2"/>
          <w:sz w:val="28"/>
          <w:szCs w:val="28"/>
        </w:rPr>
        <w:t>2,</w:t>
      </w:r>
      <w:r>
        <w:rPr>
          <w:rFonts w:ascii="標楷體" w:hAnsi="標楷體" w:hint="eastAsia"/>
          <w:spacing w:val="-2"/>
          <w:sz w:val="28"/>
          <w:szCs w:val="28"/>
        </w:rPr>
        <w:t>543</w:t>
      </w:r>
      <w:r w:rsidRPr="00FF57C1">
        <w:rPr>
          <w:rFonts w:ascii="標楷體" w:hAnsi="標楷體" w:hint="eastAsia"/>
          <w:spacing w:val="-2"/>
          <w:sz w:val="28"/>
          <w:szCs w:val="28"/>
        </w:rPr>
        <w:t>億餘元【</w:t>
      </w:r>
      <w:r w:rsidRPr="00FF57C1">
        <w:rPr>
          <w:rFonts w:ascii="標楷體" w:hAnsi="標楷體" w:hint="eastAsia"/>
          <w:spacing w:val="-2"/>
          <w:sz w:val="28"/>
          <w:szCs w:val="28"/>
          <w:lang w:eastAsia="zh-HK"/>
        </w:rPr>
        <w:t>詳丁、貳「盈虧撥補審定數額綜計表（項目別</w:t>
      </w:r>
      <w:r w:rsidRPr="00FF57C1">
        <w:rPr>
          <w:rFonts w:ascii="標楷體" w:hAnsi="標楷體"/>
          <w:spacing w:val="-2"/>
          <w:sz w:val="28"/>
          <w:szCs w:val="28"/>
          <w:lang w:eastAsia="zh-HK"/>
        </w:rPr>
        <w:t>）</w:t>
      </w:r>
      <w:r w:rsidRPr="00FF57C1">
        <w:rPr>
          <w:rFonts w:ascii="標楷體" w:hAnsi="標楷體" w:hint="eastAsia"/>
          <w:spacing w:val="-2"/>
          <w:sz w:val="28"/>
          <w:szCs w:val="28"/>
          <w:lang w:eastAsia="zh-HK"/>
        </w:rPr>
        <w:t>」及參「盈虧撥補審定數額綜計表（</w:t>
      </w:r>
      <w:r>
        <w:rPr>
          <w:rFonts w:ascii="標楷體" w:hAnsi="標楷體" w:hint="eastAsia"/>
          <w:spacing w:val="-2"/>
          <w:sz w:val="28"/>
          <w:szCs w:val="28"/>
        </w:rPr>
        <w:t>基金</w:t>
      </w:r>
      <w:r w:rsidRPr="00FF57C1">
        <w:rPr>
          <w:rFonts w:ascii="標楷體" w:hAnsi="標楷體" w:hint="eastAsia"/>
          <w:spacing w:val="-2"/>
          <w:sz w:val="28"/>
          <w:szCs w:val="28"/>
          <w:lang w:eastAsia="zh-HK"/>
        </w:rPr>
        <w:t>別</w:t>
      </w:r>
      <w:r w:rsidRPr="00FF57C1">
        <w:rPr>
          <w:rFonts w:ascii="標楷體" w:hAnsi="標楷體"/>
          <w:spacing w:val="-2"/>
          <w:sz w:val="28"/>
          <w:szCs w:val="28"/>
          <w:lang w:eastAsia="zh-HK"/>
        </w:rPr>
        <w:t>）</w:t>
      </w:r>
      <w:r w:rsidRPr="00FF57C1">
        <w:rPr>
          <w:rFonts w:ascii="標楷體" w:hAnsi="標楷體" w:hint="eastAsia"/>
          <w:spacing w:val="-2"/>
          <w:sz w:val="28"/>
          <w:szCs w:val="28"/>
          <w:lang w:eastAsia="zh-HK"/>
        </w:rPr>
        <w:t>」】</w:t>
      </w:r>
      <w:r w:rsidRPr="00FF57C1">
        <w:rPr>
          <w:rFonts w:ascii="標楷體" w:hAnsi="標楷體" w:hint="eastAsia"/>
          <w:spacing w:val="-2"/>
          <w:sz w:val="28"/>
          <w:szCs w:val="28"/>
        </w:rPr>
        <w:t>，</w:t>
      </w:r>
      <w:r w:rsidRPr="00FF57C1">
        <w:rPr>
          <w:rFonts w:ascii="標楷體" w:hAnsi="標楷體" w:hint="eastAsia"/>
          <w:spacing w:val="-2"/>
          <w:sz w:val="28"/>
          <w:szCs w:val="28"/>
          <w:lang w:eastAsia="zh-HK"/>
        </w:rPr>
        <w:t>其</w:t>
      </w:r>
      <w:r w:rsidRPr="00FF57C1">
        <w:rPr>
          <w:rFonts w:ascii="標楷體" w:hAnsi="標楷體" w:hint="eastAsia"/>
          <w:spacing w:val="-2"/>
          <w:sz w:val="28"/>
          <w:szCs w:val="28"/>
        </w:rPr>
        <w:t>盈虧撥補</w:t>
      </w:r>
      <w:r w:rsidRPr="00FF57C1">
        <w:rPr>
          <w:rFonts w:ascii="標楷體" w:hAnsi="標楷體" w:hint="eastAsia"/>
          <w:spacing w:val="-2"/>
          <w:sz w:val="28"/>
          <w:szCs w:val="28"/>
          <w:lang w:eastAsia="zh-HK"/>
        </w:rPr>
        <w:t>情形</w:t>
      </w:r>
      <w:r w:rsidRPr="00FF57C1">
        <w:rPr>
          <w:rFonts w:ascii="標楷體" w:hAnsi="標楷體" w:hint="eastAsia"/>
          <w:spacing w:val="-2"/>
          <w:sz w:val="28"/>
          <w:szCs w:val="28"/>
        </w:rPr>
        <w:t>如</w:t>
      </w:r>
      <w:r w:rsidRPr="00FF57C1">
        <w:rPr>
          <w:rFonts w:ascii="標楷體" w:hAnsi="標楷體" w:hint="eastAsia"/>
          <w:spacing w:val="-2"/>
          <w:sz w:val="28"/>
          <w:szCs w:val="28"/>
          <w:lang w:eastAsia="zh-HK"/>
        </w:rPr>
        <w:t>次</w:t>
      </w:r>
      <w:r w:rsidRPr="00FF57C1">
        <w:rPr>
          <w:rFonts w:ascii="標楷體" w:hAnsi="標楷體" w:hint="eastAsia"/>
          <w:spacing w:val="-2"/>
          <w:sz w:val="28"/>
          <w:szCs w:val="28"/>
        </w:rPr>
        <w:t>：</w:t>
      </w:r>
    </w:p>
    <w:p w14:paraId="5B1B4BEE" w14:textId="77777777" w:rsidR="00155EE6" w:rsidRPr="002028AA" w:rsidRDefault="00155EE6" w:rsidP="007421F2">
      <w:pPr>
        <w:pStyle w:val="aff9"/>
        <w:tabs>
          <w:tab w:val="left" w:pos="3686"/>
          <w:tab w:val="left" w:pos="3828"/>
        </w:tabs>
        <w:overflowPunct w:val="0"/>
        <w:spacing w:before="72" w:after="72" w:line="500" w:lineRule="exact"/>
        <w:ind w:leftChars="0" w:left="0" w:firstLineChars="100" w:firstLine="320"/>
        <w:rPr>
          <w:kern w:val="0"/>
        </w:rPr>
      </w:pPr>
      <w:r w:rsidRPr="002028AA">
        <w:rPr>
          <w:rFonts w:hint="eastAsia"/>
          <w:kern w:val="0"/>
        </w:rPr>
        <w:t>一、盈餘分配</w:t>
      </w:r>
    </w:p>
    <w:p w14:paraId="413CE338" w14:textId="6E7A4A51" w:rsidR="00155EE6" w:rsidRPr="00FF57C1" w:rsidRDefault="00155EE6" w:rsidP="007421F2">
      <w:pPr>
        <w:overflowPunct w:val="0"/>
        <w:spacing w:line="500" w:lineRule="exact"/>
        <w:ind w:leftChars="9" w:left="22" w:firstLineChars="200" w:firstLine="544"/>
        <w:jc w:val="both"/>
        <w:rPr>
          <w:rFonts w:ascii="標楷體" w:hAnsi="標楷體"/>
          <w:spacing w:val="-4"/>
          <w:kern w:val="0"/>
          <w:sz w:val="28"/>
          <w:szCs w:val="28"/>
        </w:rPr>
      </w:pPr>
      <w:proofErr w:type="gramStart"/>
      <w:r w:rsidRPr="00FF57C1">
        <w:rPr>
          <w:rFonts w:ascii="標楷體" w:hAnsi="標楷體" w:hint="eastAsia"/>
          <w:spacing w:val="-4"/>
          <w:kern w:val="0"/>
          <w:sz w:val="28"/>
          <w:szCs w:val="28"/>
        </w:rPr>
        <w:t>1</w:t>
      </w:r>
      <w:r w:rsidR="00BF678C">
        <w:rPr>
          <w:rFonts w:ascii="標楷體" w:hAnsi="標楷體" w:hint="eastAsia"/>
          <w:spacing w:val="-4"/>
          <w:kern w:val="0"/>
          <w:sz w:val="28"/>
          <w:szCs w:val="28"/>
        </w:rPr>
        <w:t>10</w:t>
      </w:r>
      <w:proofErr w:type="gramEnd"/>
      <w:r w:rsidRPr="00FF57C1">
        <w:rPr>
          <w:rFonts w:ascii="標楷體" w:hAnsi="標楷體" w:hint="eastAsia"/>
          <w:spacing w:val="-4"/>
          <w:kern w:val="0"/>
          <w:sz w:val="28"/>
          <w:szCs w:val="28"/>
        </w:rPr>
        <w:t>年度審定決算列有盈餘者，</w:t>
      </w:r>
      <w:r w:rsidRPr="00FF57C1">
        <w:rPr>
          <w:rFonts w:ascii="標楷體" w:hAnsi="標楷體" w:hint="eastAsia"/>
          <w:spacing w:val="-4"/>
          <w:kern w:val="0"/>
          <w:sz w:val="28"/>
          <w:szCs w:val="28"/>
          <w:lang w:eastAsia="zh-HK"/>
        </w:rPr>
        <w:t>計</w:t>
      </w:r>
      <w:r w:rsidRPr="00FF57C1">
        <w:rPr>
          <w:rFonts w:ascii="標楷體" w:hAnsi="標楷體" w:hint="eastAsia"/>
          <w:spacing w:val="-4"/>
          <w:kern w:val="0"/>
          <w:sz w:val="28"/>
          <w:szCs w:val="28"/>
        </w:rPr>
        <w:t>10</w:t>
      </w:r>
      <w:r w:rsidRPr="00FF57C1">
        <w:rPr>
          <w:rFonts w:ascii="標楷體" w:hAnsi="標楷體" w:hint="eastAsia"/>
          <w:spacing w:val="-4"/>
          <w:kern w:val="0"/>
          <w:sz w:val="28"/>
          <w:szCs w:val="28"/>
          <w:lang w:eastAsia="zh-HK"/>
        </w:rPr>
        <w:t>家</w:t>
      </w:r>
      <w:r w:rsidRPr="00FF57C1">
        <w:rPr>
          <w:rFonts w:ascii="標楷體" w:hAnsi="標楷體" w:hint="eastAsia"/>
          <w:spacing w:val="-4"/>
          <w:sz w:val="28"/>
          <w:szCs w:val="28"/>
        </w:rPr>
        <w:t>事業</w:t>
      </w:r>
      <w:r w:rsidRPr="00FF57C1">
        <w:rPr>
          <w:rFonts w:ascii="標楷體" w:hAnsi="標楷體" w:hint="eastAsia"/>
          <w:spacing w:val="-4"/>
          <w:kern w:val="0"/>
          <w:sz w:val="28"/>
          <w:szCs w:val="28"/>
        </w:rPr>
        <w:t>，決算淨利2,8</w:t>
      </w:r>
      <w:r w:rsidR="00BF678C">
        <w:rPr>
          <w:rFonts w:ascii="標楷體" w:hAnsi="標楷體" w:hint="eastAsia"/>
          <w:spacing w:val="-4"/>
          <w:kern w:val="0"/>
          <w:sz w:val="28"/>
          <w:szCs w:val="28"/>
        </w:rPr>
        <w:t>37</w:t>
      </w:r>
      <w:r w:rsidRPr="00FF57C1">
        <w:rPr>
          <w:rFonts w:ascii="標楷體" w:hAnsi="標楷體" w:hint="eastAsia"/>
          <w:spacing w:val="-4"/>
          <w:kern w:val="0"/>
          <w:sz w:val="28"/>
          <w:szCs w:val="28"/>
        </w:rPr>
        <w:t>億餘元，連同累積盈餘</w:t>
      </w:r>
      <w:r w:rsidR="00BF678C">
        <w:rPr>
          <w:rFonts w:ascii="標楷體" w:hAnsi="標楷體" w:hint="eastAsia"/>
          <w:spacing w:val="-4"/>
          <w:kern w:val="0"/>
          <w:sz w:val="28"/>
          <w:szCs w:val="28"/>
        </w:rPr>
        <w:t>693</w:t>
      </w:r>
      <w:r w:rsidRPr="00FF57C1">
        <w:rPr>
          <w:rFonts w:ascii="標楷體" w:hAnsi="標楷體" w:hint="eastAsia"/>
          <w:spacing w:val="-4"/>
          <w:kern w:val="0"/>
          <w:sz w:val="28"/>
          <w:szCs w:val="28"/>
        </w:rPr>
        <w:t>億餘元、公積轉列數</w:t>
      </w:r>
      <w:r w:rsidR="00BF678C">
        <w:rPr>
          <w:rFonts w:ascii="標楷體" w:hAnsi="標楷體" w:hint="eastAsia"/>
          <w:spacing w:val="-4"/>
          <w:kern w:val="0"/>
          <w:sz w:val="28"/>
          <w:szCs w:val="28"/>
        </w:rPr>
        <w:t>2億</w:t>
      </w:r>
      <w:r w:rsidRPr="00FF57C1">
        <w:rPr>
          <w:rFonts w:ascii="標楷體" w:hAnsi="標楷體" w:hint="eastAsia"/>
          <w:spacing w:val="-4"/>
          <w:kern w:val="0"/>
          <w:sz w:val="28"/>
          <w:szCs w:val="28"/>
        </w:rPr>
        <w:t>餘元、其他綜合損益轉入數</w:t>
      </w:r>
      <w:r w:rsidR="00047F9C">
        <w:rPr>
          <w:rFonts w:ascii="標楷體" w:hAnsi="標楷體" w:hint="eastAsia"/>
          <w:spacing w:val="-4"/>
          <w:kern w:val="0"/>
          <w:sz w:val="28"/>
          <w:szCs w:val="28"/>
        </w:rPr>
        <w:t>56</w:t>
      </w:r>
      <w:r w:rsidRPr="00FF57C1">
        <w:rPr>
          <w:rFonts w:ascii="標楷體" w:hAnsi="標楷體" w:hint="eastAsia"/>
          <w:spacing w:val="-4"/>
          <w:kern w:val="0"/>
          <w:sz w:val="28"/>
          <w:szCs w:val="28"/>
        </w:rPr>
        <w:t>億餘元及首次採用國際財務報導準則</w:t>
      </w:r>
      <w:proofErr w:type="gramStart"/>
      <w:r w:rsidRPr="00FF57C1">
        <w:rPr>
          <w:rFonts w:ascii="標楷體" w:hAnsi="標楷體" w:hint="eastAsia"/>
          <w:spacing w:val="-4"/>
          <w:kern w:val="0"/>
          <w:sz w:val="28"/>
          <w:szCs w:val="28"/>
        </w:rPr>
        <w:t>調整數轉列</w:t>
      </w:r>
      <w:proofErr w:type="gramEnd"/>
      <w:r w:rsidRPr="00FF57C1">
        <w:rPr>
          <w:rFonts w:ascii="標楷體" w:hAnsi="標楷體" w:hint="eastAsia"/>
          <w:spacing w:val="-4"/>
          <w:kern w:val="0"/>
          <w:sz w:val="28"/>
          <w:szCs w:val="28"/>
        </w:rPr>
        <w:t>數</w:t>
      </w:r>
      <w:r w:rsidR="00047F9C">
        <w:rPr>
          <w:rFonts w:ascii="標楷體" w:hAnsi="標楷體" w:hint="eastAsia"/>
          <w:spacing w:val="-4"/>
          <w:kern w:val="0"/>
          <w:sz w:val="28"/>
          <w:szCs w:val="28"/>
        </w:rPr>
        <w:t>8</w:t>
      </w:r>
      <w:r w:rsidRPr="00FF57C1">
        <w:rPr>
          <w:rFonts w:ascii="標楷體" w:hAnsi="標楷體" w:hint="eastAsia"/>
          <w:spacing w:val="-4"/>
          <w:kern w:val="0"/>
          <w:sz w:val="28"/>
          <w:szCs w:val="28"/>
        </w:rPr>
        <w:t>億餘元，</w:t>
      </w:r>
      <w:r w:rsidR="00222AA0" w:rsidRPr="00FF57C1">
        <w:rPr>
          <w:rFonts w:ascii="標楷體" w:hAnsi="標楷體" w:hint="eastAsia"/>
          <w:spacing w:val="-4"/>
          <w:kern w:val="0"/>
          <w:sz w:val="28"/>
          <w:szCs w:val="28"/>
        </w:rPr>
        <w:t>可分配盈餘</w:t>
      </w:r>
      <w:r w:rsidR="00222AA0">
        <w:rPr>
          <w:rFonts w:ascii="標楷體" w:hAnsi="標楷體" w:hint="eastAsia"/>
          <w:spacing w:val="-4"/>
          <w:kern w:val="0"/>
          <w:sz w:val="28"/>
          <w:szCs w:val="28"/>
        </w:rPr>
        <w:t>合計</w:t>
      </w:r>
      <w:r w:rsidRPr="00FF57C1">
        <w:rPr>
          <w:rFonts w:ascii="標楷體" w:hAnsi="標楷體" w:hint="eastAsia"/>
          <w:spacing w:val="-4"/>
          <w:kern w:val="0"/>
          <w:sz w:val="28"/>
          <w:szCs w:val="28"/>
        </w:rPr>
        <w:t>3,</w:t>
      </w:r>
      <w:r w:rsidR="00047F9C">
        <w:rPr>
          <w:rFonts w:ascii="標楷體" w:hAnsi="標楷體" w:hint="eastAsia"/>
          <w:spacing w:val="-4"/>
          <w:kern w:val="0"/>
          <w:sz w:val="28"/>
          <w:szCs w:val="28"/>
        </w:rPr>
        <w:t>598</w:t>
      </w:r>
      <w:r w:rsidRPr="00FF57C1">
        <w:rPr>
          <w:rFonts w:ascii="標楷體" w:hAnsi="標楷體" w:hint="eastAsia"/>
          <w:spacing w:val="-4"/>
          <w:kern w:val="0"/>
          <w:sz w:val="28"/>
          <w:szCs w:val="28"/>
        </w:rPr>
        <w:t>億餘元，依法分配如次：</w:t>
      </w:r>
    </w:p>
    <w:p w14:paraId="57E5BB8D" w14:textId="5C900D3E" w:rsidR="00155EE6" w:rsidRPr="00FF57C1" w:rsidRDefault="00CD7018" w:rsidP="007421F2">
      <w:pPr>
        <w:pStyle w:val="af5"/>
        <w:tabs>
          <w:tab w:val="left" w:pos="1428"/>
        </w:tabs>
        <w:overflowPunct w:val="0"/>
        <w:spacing w:line="480" w:lineRule="exact"/>
        <w:ind w:leftChars="0" w:left="0" w:firstLineChars="200" w:firstLine="561"/>
        <w:jc w:val="both"/>
        <w:rPr>
          <w:rFonts w:ascii="標楷體" w:hAnsi="標楷體"/>
          <w:kern w:val="0"/>
          <w:sz w:val="28"/>
          <w:szCs w:val="28"/>
        </w:rPr>
      </w:pPr>
      <w:r w:rsidRPr="00CD7018">
        <w:rPr>
          <w:rFonts w:hint="eastAsia"/>
          <w:b/>
          <w:bCs/>
          <w:color w:val="000000" w:themeColor="text1"/>
          <w:sz w:val="28"/>
        </w:rPr>
        <w:t>（一）　填補累積虧損</w:t>
      </w:r>
      <w:r w:rsidR="00047F9C">
        <w:rPr>
          <w:rFonts w:ascii="標楷體" w:hAnsi="標楷體" w:hint="eastAsia"/>
          <w:kern w:val="0"/>
          <w:sz w:val="28"/>
          <w:szCs w:val="28"/>
        </w:rPr>
        <w:t>259</w:t>
      </w:r>
      <w:r w:rsidR="00155EE6" w:rsidRPr="00FF57C1">
        <w:rPr>
          <w:rFonts w:ascii="標楷體" w:hAnsi="標楷體" w:hint="eastAsia"/>
          <w:kern w:val="0"/>
          <w:sz w:val="28"/>
          <w:szCs w:val="28"/>
        </w:rPr>
        <w:t>億餘元，較預算數</w:t>
      </w:r>
      <w:r w:rsidR="00047F9C">
        <w:rPr>
          <w:rFonts w:ascii="標楷體" w:hAnsi="標楷體" w:hint="eastAsia"/>
          <w:kern w:val="0"/>
          <w:sz w:val="28"/>
          <w:szCs w:val="28"/>
        </w:rPr>
        <w:t>63</w:t>
      </w:r>
      <w:r w:rsidR="00155EE6" w:rsidRPr="00FF57C1">
        <w:rPr>
          <w:rFonts w:ascii="標楷體" w:hAnsi="標楷體" w:hint="eastAsia"/>
          <w:kern w:val="0"/>
          <w:sz w:val="28"/>
          <w:szCs w:val="28"/>
        </w:rPr>
        <w:t>億餘元，增加</w:t>
      </w:r>
      <w:r w:rsidR="00047F9C">
        <w:rPr>
          <w:rFonts w:ascii="標楷體" w:hAnsi="標楷體" w:hint="eastAsia"/>
          <w:kern w:val="0"/>
          <w:sz w:val="28"/>
          <w:szCs w:val="28"/>
        </w:rPr>
        <w:t>195</w:t>
      </w:r>
      <w:r w:rsidR="00155EE6" w:rsidRPr="00FF57C1">
        <w:rPr>
          <w:rFonts w:ascii="標楷體" w:hAnsi="標楷體" w:hint="eastAsia"/>
          <w:kern w:val="0"/>
          <w:sz w:val="28"/>
          <w:szCs w:val="28"/>
        </w:rPr>
        <w:t>億餘元，約</w:t>
      </w:r>
      <w:r w:rsidR="00047F9C">
        <w:rPr>
          <w:rFonts w:ascii="標楷體" w:hAnsi="標楷體" w:hint="eastAsia"/>
          <w:kern w:val="0"/>
          <w:sz w:val="28"/>
          <w:szCs w:val="28"/>
        </w:rPr>
        <w:t>310.12</w:t>
      </w:r>
      <w:r w:rsidR="00155EE6" w:rsidRPr="00FF57C1">
        <w:rPr>
          <w:rFonts w:ascii="標楷體" w:hAnsi="標楷體" w:hint="eastAsia"/>
          <w:kern w:val="0"/>
          <w:sz w:val="28"/>
          <w:szCs w:val="28"/>
        </w:rPr>
        <w:t>％。</w:t>
      </w:r>
    </w:p>
    <w:p w14:paraId="2358F2C1" w14:textId="7A4AB273" w:rsidR="00155EE6" w:rsidRPr="007421F2" w:rsidRDefault="00CD7018" w:rsidP="007421F2">
      <w:pPr>
        <w:pStyle w:val="af5"/>
        <w:tabs>
          <w:tab w:val="left" w:pos="1428"/>
        </w:tabs>
        <w:overflowPunct w:val="0"/>
        <w:spacing w:line="480" w:lineRule="exact"/>
        <w:ind w:leftChars="0" w:left="0" w:firstLineChars="200" w:firstLine="561"/>
        <w:jc w:val="both"/>
        <w:rPr>
          <w:rFonts w:ascii="標楷體" w:hAnsi="標楷體"/>
          <w:spacing w:val="6"/>
          <w:kern w:val="0"/>
          <w:sz w:val="28"/>
          <w:szCs w:val="28"/>
        </w:rPr>
      </w:pPr>
      <w:r w:rsidRPr="00CD7018">
        <w:rPr>
          <w:rFonts w:hint="eastAsia"/>
          <w:b/>
          <w:bCs/>
          <w:color w:val="000000" w:themeColor="text1"/>
          <w:sz w:val="28"/>
        </w:rPr>
        <w:t xml:space="preserve">（二）　</w:t>
      </w:r>
      <w:proofErr w:type="gramStart"/>
      <w:r w:rsidRPr="007421F2">
        <w:rPr>
          <w:rFonts w:hint="eastAsia"/>
          <w:b/>
          <w:bCs/>
          <w:color w:val="000000" w:themeColor="text1"/>
          <w:sz w:val="28"/>
        </w:rPr>
        <w:t>提存公積</w:t>
      </w:r>
      <w:proofErr w:type="gramEnd"/>
      <w:r w:rsidR="00047F9C" w:rsidRPr="007421F2">
        <w:rPr>
          <w:rFonts w:ascii="標楷體" w:hAnsi="標楷體" w:hint="eastAsia"/>
          <w:spacing w:val="6"/>
          <w:kern w:val="0"/>
          <w:sz w:val="28"/>
          <w:szCs w:val="28"/>
        </w:rPr>
        <w:t>665</w:t>
      </w:r>
      <w:r w:rsidR="00155EE6" w:rsidRPr="007421F2">
        <w:rPr>
          <w:rFonts w:ascii="標楷體" w:hAnsi="標楷體" w:hint="eastAsia"/>
          <w:spacing w:val="6"/>
          <w:kern w:val="0"/>
          <w:sz w:val="28"/>
          <w:szCs w:val="28"/>
        </w:rPr>
        <w:t>億餘元，較預算數</w:t>
      </w:r>
      <w:r w:rsidR="00047F9C" w:rsidRPr="007421F2">
        <w:rPr>
          <w:rFonts w:ascii="標楷體" w:hAnsi="標楷體" w:hint="eastAsia"/>
          <w:spacing w:val="6"/>
          <w:kern w:val="0"/>
          <w:sz w:val="28"/>
          <w:szCs w:val="28"/>
        </w:rPr>
        <w:t>448</w:t>
      </w:r>
      <w:r w:rsidR="00155EE6" w:rsidRPr="007421F2">
        <w:rPr>
          <w:rFonts w:ascii="標楷體" w:hAnsi="標楷體" w:hint="eastAsia"/>
          <w:spacing w:val="6"/>
          <w:kern w:val="0"/>
          <w:sz w:val="28"/>
          <w:szCs w:val="28"/>
        </w:rPr>
        <w:t>億餘元，增加</w:t>
      </w:r>
      <w:r w:rsidR="00047F9C" w:rsidRPr="007421F2">
        <w:rPr>
          <w:rFonts w:ascii="標楷體" w:hAnsi="標楷體" w:hint="eastAsia"/>
          <w:spacing w:val="6"/>
          <w:kern w:val="0"/>
          <w:sz w:val="28"/>
          <w:szCs w:val="28"/>
        </w:rPr>
        <w:t>216</w:t>
      </w:r>
      <w:r w:rsidR="00155EE6" w:rsidRPr="007421F2">
        <w:rPr>
          <w:rFonts w:ascii="標楷體" w:hAnsi="標楷體" w:hint="eastAsia"/>
          <w:spacing w:val="6"/>
          <w:kern w:val="0"/>
          <w:sz w:val="28"/>
          <w:szCs w:val="28"/>
        </w:rPr>
        <w:t>億餘元，約</w:t>
      </w:r>
      <w:r w:rsidR="002C6910" w:rsidRPr="007421F2">
        <w:rPr>
          <w:rFonts w:ascii="標楷體" w:hAnsi="標楷體" w:hint="eastAsia"/>
          <w:spacing w:val="6"/>
          <w:kern w:val="0"/>
          <w:sz w:val="28"/>
          <w:szCs w:val="28"/>
        </w:rPr>
        <w:t>48.33</w:t>
      </w:r>
      <w:r w:rsidR="00155EE6" w:rsidRPr="007421F2">
        <w:rPr>
          <w:rFonts w:ascii="標楷體" w:hAnsi="標楷體" w:hint="eastAsia"/>
          <w:spacing w:val="6"/>
          <w:kern w:val="0"/>
          <w:sz w:val="28"/>
          <w:szCs w:val="28"/>
        </w:rPr>
        <w:t>％。</w:t>
      </w:r>
    </w:p>
    <w:p w14:paraId="2665AA7C" w14:textId="27931172" w:rsidR="00155EE6" w:rsidRPr="00FF57C1" w:rsidRDefault="00CD7018" w:rsidP="007421F2">
      <w:pPr>
        <w:pStyle w:val="af5"/>
        <w:tabs>
          <w:tab w:val="left" w:pos="1428"/>
        </w:tabs>
        <w:overflowPunct w:val="0"/>
        <w:spacing w:line="480" w:lineRule="exact"/>
        <w:ind w:leftChars="0" w:left="0" w:firstLineChars="200" w:firstLine="561"/>
        <w:jc w:val="both"/>
        <w:rPr>
          <w:rFonts w:ascii="標楷體" w:hAnsi="標楷體"/>
          <w:kern w:val="0"/>
          <w:sz w:val="28"/>
          <w:szCs w:val="28"/>
        </w:rPr>
      </w:pPr>
      <w:r w:rsidRPr="00CD7018">
        <w:rPr>
          <w:rFonts w:hint="eastAsia"/>
          <w:b/>
          <w:bCs/>
          <w:color w:val="000000" w:themeColor="text1"/>
          <w:sz w:val="28"/>
        </w:rPr>
        <w:t>（三）　分配股息紅利</w:t>
      </w:r>
      <w:r w:rsidR="00EB086D">
        <w:rPr>
          <w:rFonts w:ascii="標楷體" w:hAnsi="標楷體" w:hint="eastAsia"/>
          <w:kern w:val="0"/>
          <w:sz w:val="28"/>
          <w:szCs w:val="28"/>
        </w:rPr>
        <w:t>1</w:t>
      </w:r>
      <w:r w:rsidR="00155EE6" w:rsidRPr="00FF57C1">
        <w:rPr>
          <w:rFonts w:ascii="標楷體" w:hAnsi="標楷體" w:hint="eastAsia"/>
          <w:kern w:val="0"/>
          <w:sz w:val="28"/>
          <w:szCs w:val="28"/>
        </w:rPr>
        <w:t>,</w:t>
      </w:r>
      <w:r w:rsidR="00EB086D">
        <w:rPr>
          <w:rFonts w:ascii="標楷體" w:hAnsi="標楷體" w:hint="eastAsia"/>
          <w:kern w:val="0"/>
          <w:sz w:val="28"/>
          <w:szCs w:val="28"/>
        </w:rPr>
        <w:t>896</w:t>
      </w:r>
      <w:r w:rsidR="00155EE6" w:rsidRPr="00FF57C1">
        <w:rPr>
          <w:rFonts w:ascii="標楷體" w:hAnsi="標楷體" w:hint="eastAsia"/>
          <w:kern w:val="0"/>
          <w:sz w:val="28"/>
          <w:szCs w:val="28"/>
        </w:rPr>
        <w:t>億餘元，較預算數2,</w:t>
      </w:r>
      <w:r w:rsidR="00EB086D">
        <w:rPr>
          <w:rFonts w:ascii="標楷體" w:hAnsi="標楷體" w:hint="eastAsia"/>
          <w:kern w:val="0"/>
          <w:sz w:val="28"/>
          <w:szCs w:val="28"/>
        </w:rPr>
        <w:t>0</w:t>
      </w:r>
      <w:r w:rsidR="00155EE6" w:rsidRPr="00FF57C1">
        <w:rPr>
          <w:rFonts w:ascii="標楷體" w:hAnsi="標楷體" w:hint="eastAsia"/>
          <w:kern w:val="0"/>
          <w:sz w:val="28"/>
          <w:szCs w:val="28"/>
        </w:rPr>
        <w:t>12億餘元，減少</w:t>
      </w:r>
      <w:r w:rsidR="00EB086D">
        <w:rPr>
          <w:rFonts w:ascii="標楷體" w:hAnsi="標楷體" w:hint="eastAsia"/>
          <w:kern w:val="0"/>
          <w:sz w:val="28"/>
          <w:szCs w:val="28"/>
        </w:rPr>
        <w:t>116</w:t>
      </w:r>
      <w:r w:rsidR="00155EE6" w:rsidRPr="00FF57C1">
        <w:rPr>
          <w:rFonts w:ascii="標楷體" w:hAnsi="標楷體" w:hint="eastAsia"/>
          <w:kern w:val="0"/>
          <w:sz w:val="28"/>
          <w:szCs w:val="28"/>
        </w:rPr>
        <w:t>億餘元，約</w:t>
      </w:r>
      <w:r w:rsidR="00EB086D">
        <w:rPr>
          <w:rFonts w:ascii="標楷體" w:hAnsi="標楷體" w:hint="eastAsia"/>
          <w:kern w:val="0"/>
          <w:sz w:val="28"/>
          <w:szCs w:val="28"/>
        </w:rPr>
        <w:t>5.78</w:t>
      </w:r>
      <w:r w:rsidR="00155EE6" w:rsidRPr="00FF57C1">
        <w:rPr>
          <w:rFonts w:ascii="標楷體" w:hAnsi="標楷體" w:hint="eastAsia"/>
          <w:kern w:val="0"/>
          <w:sz w:val="28"/>
          <w:szCs w:val="28"/>
        </w:rPr>
        <w:t>％，其中</w:t>
      </w:r>
      <w:r w:rsidR="00155EE6" w:rsidRPr="00FF57C1">
        <w:rPr>
          <w:rFonts w:ascii="標楷體" w:hAnsi="標楷體" w:hint="eastAsia"/>
          <w:kern w:val="0"/>
          <w:sz w:val="28"/>
          <w:szCs w:val="28"/>
          <w:lang w:eastAsia="zh-HK"/>
        </w:rPr>
        <w:t>撥付</w:t>
      </w:r>
      <w:r w:rsidR="00155EE6" w:rsidRPr="00FF57C1">
        <w:rPr>
          <w:rFonts w:ascii="標楷體" w:hAnsi="標楷體" w:hint="eastAsia"/>
          <w:kern w:val="0"/>
          <w:sz w:val="28"/>
          <w:szCs w:val="28"/>
        </w:rPr>
        <w:t>中央政府</w:t>
      </w:r>
      <w:r w:rsidR="00EB086D">
        <w:rPr>
          <w:rFonts w:ascii="標楷體" w:hAnsi="標楷體" w:hint="eastAsia"/>
          <w:kern w:val="0"/>
          <w:sz w:val="28"/>
          <w:szCs w:val="28"/>
        </w:rPr>
        <w:t>1</w:t>
      </w:r>
      <w:r w:rsidR="00155EE6" w:rsidRPr="00FF57C1">
        <w:rPr>
          <w:rFonts w:ascii="標楷體" w:hAnsi="標楷體" w:hint="eastAsia"/>
          <w:kern w:val="0"/>
          <w:sz w:val="28"/>
          <w:szCs w:val="28"/>
        </w:rPr>
        <w:t>,</w:t>
      </w:r>
      <w:r w:rsidR="00EB086D">
        <w:rPr>
          <w:rFonts w:ascii="標楷體" w:hAnsi="標楷體" w:hint="eastAsia"/>
          <w:kern w:val="0"/>
          <w:sz w:val="28"/>
          <w:szCs w:val="28"/>
        </w:rPr>
        <w:t>893</w:t>
      </w:r>
      <w:r w:rsidR="00155EE6" w:rsidRPr="00FF57C1">
        <w:rPr>
          <w:rFonts w:ascii="標楷體" w:hAnsi="標楷體" w:hint="eastAsia"/>
          <w:kern w:val="0"/>
          <w:sz w:val="28"/>
          <w:szCs w:val="28"/>
        </w:rPr>
        <w:t>億餘元，地方政府</w:t>
      </w:r>
      <w:r w:rsidR="00EB086D">
        <w:rPr>
          <w:rFonts w:ascii="標楷體" w:hAnsi="標楷體" w:hint="eastAsia"/>
          <w:kern w:val="0"/>
          <w:sz w:val="28"/>
          <w:szCs w:val="28"/>
        </w:rPr>
        <w:t>2</w:t>
      </w:r>
      <w:r w:rsidR="00155EE6" w:rsidRPr="00FF57C1">
        <w:rPr>
          <w:rFonts w:ascii="標楷體" w:hAnsi="標楷體" w:hint="eastAsia"/>
          <w:kern w:val="0"/>
          <w:sz w:val="28"/>
          <w:szCs w:val="28"/>
        </w:rPr>
        <w:t>萬餘元，其他政府機關1億餘元，民股股東</w:t>
      </w:r>
      <w:r w:rsidR="00EB086D">
        <w:rPr>
          <w:rFonts w:ascii="標楷體" w:hAnsi="標楷體" w:hint="eastAsia"/>
          <w:kern w:val="0"/>
          <w:sz w:val="28"/>
          <w:szCs w:val="28"/>
        </w:rPr>
        <w:t>1</w:t>
      </w:r>
      <w:r w:rsidR="00155EE6" w:rsidRPr="00FF57C1">
        <w:rPr>
          <w:rFonts w:ascii="標楷體" w:hAnsi="標楷體" w:hint="eastAsia"/>
          <w:kern w:val="0"/>
          <w:sz w:val="28"/>
          <w:szCs w:val="28"/>
        </w:rPr>
        <w:t>億餘元。</w:t>
      </w:r>
    </w:p>
    <w:p w14:paraId="254A1EC1" w14:textId="0F1C9131" w:rsidR="00155EE6" w:rsidRPr="007250D4" w:rsidRDefault="00CD7018" w:rsidP="007421F2">
      <w:pPr>
        <w:pStyle w:val="af5"/>
        <w:tabs>
          <w:tab w:val="left" w:pos="1428"/>
        </w:tabs>
        <w:overflowPunct w:val="0"/>
        <w:spacing w:line="480" w:lineRule="exact"/>
        <w:ind w:leftChars="0" w:left="0" w:firstLineChars="200" w:firstLine="561"/>
        <w:jc w:val="both"/>
        <w:rPr>
          <w:rFonts w:ascii="標楷體" w:hAnsi="標楷體"/>
          <w:kern w:val="0"/>
          <w:sz w:val="28"/>
          <w:szCs w:val="28"/>
        </w:rPr>
      </w:pPr>
      <w:r w:rsidRPr="00CD7018">
        <w:rPr>
          <w:rFonts w:hint="eastAsia"/>
          <w:b/>
          <w:bCs/>
          <w:color w:val="000000" w:themeColor="text1"/>
          <w:sz w:val="28"/>
        </w:rPr>
        <w:t xml:space="preserve">（四）　</w:t>
      </w:r>
      <w:proofErr w:type="gramStart"/>
      <w:r w:rsidR="00404BD0" w:rsidRPr="00CD7018">
        <w:rPr>
          <w:rFonts w:hint="eastAsia"/>
          <w:b/>
          <w:bCs/>
          <w:color w:val="000000" w:themeColor="text1"/>
          <w:sz w:val="28"/>
        </w:rPr>
        <w:t>提撥</w:t>
      </w:r>
      <w:proofErr w:type="gramEnd"/>
      <w:r w:rsidR="00404BD0" w:rsidRPr="00CD7018">
        <w:rPr>
          <w:rFonts w:hint="eastAsia"/>
          <w:b/>
          <w:bCs/>
          <w:color w:val="000000" w:themeColor="text1"/>
          <w:sz w:val="28"/>
        </w:rPr>
        <w:t>地方政府</w:t>
      </w:r>
      <w:r w:rsidR="0012563A" w:rsidRPr="00404BD0">
        <w:rPr>
          <w:rFonts w:ascii="標楷體" w:hAnsi="標楷體" w:hint="eastAsia"/>
          <w:spacing w:val="2"/>
          <w:kern w:val="0"/>
          <w:sz w:val="28"/>
          <w:szCs w:val="28"/>
        </w:rPr>
        <w:t>14億餘元，係</w:t>
      </w:r>
      <w:r w:rsidR="000E266A" w:rsidRPr="00404BD0">
        <w:rPr>
          <w:rFonts w:ascii="標楷體" w:hAnsi="標楷體" w:hint="eastAsia"/>
          <w:spacing w:val="2"/>
          <w:kern w:val="0"/>
          <w:sz w:val="28"/>
          <w:szCs w:val="28"/>
        </w:rPr>
        <w:t>臺灣</w:t>
      </w:r>
      <w:r w:rsidR="0012563A" w:rsidRPr="00404BD0">
        <w:rPr>
          <w:rFonts w:ascii="標楷體" w:hAnsi="標楷體" w:hint="eastAsia"/>
          <w:spacing w:val="2"/>
          <w:kern w:val="0"/>
          <w:sz w:val="28"/>
          <w:szCs w:val="28"/>
        </w:rPr>
        <w:t>港務公司</w:t>
      </w:r>
      <w:r w:rsidR="000E266A" w:rsidRPr="00404BD0">
        <w:rPr>
          <w:rFonts w:ascii="標楷體" w:hAnsi="標楷體" w:hint="eastAsia"/>
          <w:spacing w:val="2"/>
          <w:kern w:val="0"/>
          <w:sz w:val="28"/>
          <w:szCs w:val="28"/>
        </w:rPr>
        <w:t>依其</w:t>
      </w:r>
      <w:r w:rsidR="0012563A" w:rsidRPr="00404BD0">
        <w:rPr>
          <w:rFonts w:ascii="標楷體" w:hAnsi="標楷體" w:hint="eastAsia"/>
          <w:spacing w:val="2"/>
          <w:kern w:val="0"/>
          <w:sz w:val="28"/>
          <w:szCs w:val="28"/>
        </w:rPr>
        <w:t>設置條例規定，</w:t>
      </w:r>
      <w:r w:rsidR="000E266A" w:rsidRPr="00404BD0">
        <w:rPr>
          <w:rFonts w:ascii="標楷體" w:hAnsi="標楷體" w:hint="eastAsia"/>
          <w:spacing w:val="2"/>
          <w:kern w:val="0"/>
          <w:sz w:val="28"/>
          <w:szCs w:val="28"/>
        </w:rPr>
        <w:t>按18％</w:t>
      </w:r>
      <w:proofErr w:type="gramStart"/>
      <w:r w:rsidR="0012563A" w:rsidRPr="00404BD0">
        <w:rPr>
          <w:rFonts w:ascii="標楷體" w:hAnsi="標楷體" w:hint="eastAsia"/>
          <w:spacing w:val="2"/>
          <w:kern w:val="0"/>
          <w:sz w:val="28"/>
          <w:szCs w:val="28"/>
        </w:rPr>
        <w:t>提撥</w:t>
      </w:r>
      <w:proofErr w:type="gramEnd"/>
      <w:r w:rsidR="0012563A" w:rsidRPr="00404BD0">
        <w:rPr>
          <w:rFonts w:ascii="標楷體" w:hAnsi="標楷體" w:hint="eastAsia"/>
          <w:spacing w:val="2"/>
          <w:kern w:val="0"/>
          <w:sz w:val="28"/>
          <w:szCs w:val="28"/>
        </w:rPr>
        <w:t>予港口所在地之直轄市、縣</w:t>
      </w:r>
      <w:r w:rsidR="006A2BB5">
        <w:rPr>
          <w:rFonts w:ascii="標楷體" w:hAnsi="標楷體" w:hint="eastAsia"/>
          <w:spacing w:val="2"/>
          <w:kern w:val="0"/>
          <w:sz w:val="28"/>
          <w:szCs w:val="28"/>
        </w:rPr>
        <w:t>（</w:t>
      </w:r>
      <w:r w:rsidR="0012563A" w:rsidRPr="00404BD0">
        <w:rPr>
          <w:rFonts w:ascii="標楷體" w:hAnsi="標楷體" w:hint="eastAsia"/>
          <w:spacing w:val="2"/>
          <w:kern w:val="0"/>
          <w:sz w:val="28"/>
          <w:szCs w:val="28"/>
        </w:rPr>
        <w:t>市</w:t>
      </w:r>
      <w:r w:rsidR="006A2BB5">
        <w:rPr>
          <w:rFonts w:ascii="標楷體" w:hAnsi="標楷體" w:hint="eastAsia"/>
          <w:spacing w:val="2"/>
          <w:kern w:val="0"/>
          <w:sz w:val="28"/>
          <w:szCs w:val="28"/>
        </w:rPr>
        <w:t>）</w:t>
      </w:r>
      <w:r w:rsidR="0012563A" w:rsidRPr="00404BD0">
        <w:rPr>
          <w:rFonts w:ascii="標楷體" w:hAnsi="標楷體" w:hint="eastAsia"/>
          <w:spacing w:val="2"/>
          <w:kern w:val="0"/>
          <w:sz w:val="28"/>
          <w:szCs w:val="28"/>
        </w:rPr>
        <w:t>政府，較預算數10億餘元，增加4億餘元，約40.17％。</w:t>
      </w:r>
    </w:p>
    <w:p w14:paraId="278AA56F" w14:textId="5542A745" w:rsidR="00155EE6" w:rsidRPr="00FF57C1" w:rsidRDefault="00CD7018" w:rsidP="007421F2">
      <w:pPr>
        <w:pStyle w:val="af5"/>
        <w:tabs>
          <w:tab w:val="left" w:pos="1428"/>
        </w:tabs>
        <w:overflowPunct w:val="0"/>
        <w:spacing w:line="480" w:lineRule="exact"/>
        <w:ind w:leftChars="0" w:left="0" w:firstLineChars="200" w:firstLine="561"/>
        <w:jc w:val="both"/>
        <w:rPr>
          <w:rFonts w:ascii="標楷體" w:hAnsi="標楷體"/>
          <w:kern w:val="0"/>
          <w:sz w:val="28"/>
          <w:szCs w:val="28"/>
        </w:rPr>
      </w:pPr>
      <w:r w:rsidRPr="00CD7018">
        <w:rPr>
          <w:rFonts w:hint="eastAsia"/>
          <w:b/>
          <w:bCs/>
          <w:color w:val="000000" w:themeColor="text1"/>
          <w:sz w:val="28"/>
        </w:rPr>
        <w:t xml:space="preserve">（五）　</w:t>
      </w:r>
      <w:r w:rsidR="00404BD0" w:rsidRPr="00CD7018">
        <w:rPr>
          <w:rFonts w:hint="eastAsia"/>
          <w:b/>
          <w:bCs/>
          <w:color w:val="000000" w:themeColor="text1"/>
          <w:sz w:val="28"/>
        </w:rPr>
        <w:t>其他依法分配數</w:t>
      </w:r>
      <w:r w:rsidR="0012563A" w:rsidRPr="007250D4">
        <w:rPr>
          <w:rFonts w:ascii="標楷體" w:hAnsi="標楷體" w:hint="eastAsia"/>
          <w:kern w:val="0"/>
          <w:sz w:val="28"/>
          <w:szCs w:val="28"/>
        </w:rPr>
        <w:t>24</w:t>
      </w:r>
      <w:r w:rsidR="0012563A" w:rsidRPr="007250D4">
        <w:rPr>
          <w:rFonts w:ascii="標楷體" w:hAnsi="標楷體" w:hint="eastAsia"/>
          <w:kern w:val="0"/>
          <w:sz w:val="28"/>
          <w:szCs w:val="28"/>
          <w:lang w:eastAsia="zh-HK"/>
        </w:rPr>
        <w:t>億餘元</w:t>
      </w:r>
      <w:r w:rsidR="0012563A" w:rsidRPr="007250D4">
        <w:rPr>
          <w:rFonts w:ascii="標楷體" w:hAnsi="標楷體" w:hint="eastAsia"/>
          <w:kern w:val="0"/>
          <w:sz w:val="28"/>
          <w:szCs w:val="28"/>
        </w:rPr>
        <w:t>，係</w:t>
      </w:r>
      <w:r w:rsidR="000E266A" w:rsidRPr="007250D4">
        <w:rPr>
          <w:rFonts w:ascii="標楷體" w:hAnsi="標楷體" w:hint="eastAsia"/>
          <w:kern w:val="0"/>
          <w:sz w:val="28"/>
          <w:szCs w:val="28"/>
        </w:rPr>
        <w:t>臺灣港務公司依其設置條例規定，按30％</w:t>
      </w:r>
      <w:proofErr w:type="gramStart"/>
      <w:r w:rsidR="0012563A" w:rsidRPr="007250D4">
        <w:rPr>
          <w:rFonts w:ascii="標楷體" w:hAnsi="標楷體" w:hint="eastAsia"/>
          <w:kern w:val="0"/>
          <w:sz w:val="28"/>
          <w:szCs w:val="28"/>
        </w:rPr>
        <w:t>提撥</w:t>
      </w:r>
      <w:r w:rsidR="000E266A" w:rsidRPr="007250D4">
        <w:rPr>
          <w:rFonts w:ascii="標楷體" w:hAnsi="標楷體" w:hint="eastAsia"/>
          <w:kern w:val="0"/>
          <w:sz w:val="28"/>
          <w:szCs w:val="28"/>
        </w:rPr>
        <w:t>予</w:t>
      </w:r>
      <w:r w:rsidR="0012563A" w:rsidRPr="007250D4">
        <w:rPr>
          <w:rFonts w:ascii="標楷體" w:hAnsi="標楷體" w:hint="eastAsia"/>
          <w:kern w:val="0"/>
          <w:sz w:val="28"/>
          <w:szCs w:val="28"/>
        </w:rPr>
        <w:t>航港</w:t>
      </w:r>
      <w:proofErr w:type="gramEnd"/>
      <w:r w:rsidR="0012563A" w:rsidRPr="007250D4">
        <w:rPr>
          <w:rFonts w:ascii="標楷體" w:hAnsi="標楷體" w:hint="eastAsia"/>
          <w:kern w:val="0"/>
          <w:sz w:val="28"/>
          <w:szCs w:val="28"/>
        </w:rPr>
        <w:t>建設基金，較預算數21億餘元，增加3億餘元，約15.16％。</w:t>
      </w:r>
    </w:p>
    <w:p w14:paraId="0CF96C91" w14:textId="2205B738" w:rsidR="00155EE6" w:rsidRPr="00FF57C1" w:rsidRDefault="00CD7018" w:rsidP="007421F2">
      <w:pPr>
        <w:pStyle w:val="af5"/>
        <w:tabs>
          <w:tab w:val="left" w:pos="1428"/>
        </w:tabs>
        <w:overflowPunct w:val="0"/>
        <w:spacing w:line="480" w:lineRule="exact"/>
        <w:ind w:leftChars="0" w:left="0" w:firstLineChars="200" w:firstLine="561"/>
        <w:jc w:val="both"/>
        <w:rPr>
          <w:rFonts w:ascii="標楷體" w:hAnsi="標楷體"/>
          <w:kern w:val="0"/>
          <w:sz w:val="28"/>
          <w:szCs w:val="28"/>
        </w:rPr>
      </w:pPr>
      <w:r w:rsidRPr="00CD7018">
        <w:rPr>
          <w:rFonts w:hint="eastAsia"/>
          <w:b/>
          <w:bCs/>
          <w:color w:val="000000" w:themeColor="text1"/>
          <w:sz w:val="28"/>
        </w:rPr>
        <w:t>（六）　未分配盈餘</w:t>
      </w:r>
      <w:r w:rsidR="006302A4">
        <w:rPr>
          <w:rFonts w:ascii="標楷體" w:hAnsi="標楷體" w:hint="eastAsia"/>
          <w:kern w:val="0"/>
          <w:sz w:val="28"/>
          <w:szCs w:val="28"/>
        </w:rPr>
        <w:t>738</w:t>
      </w:r>
      <w:r w:rsidR="00155EE6" w:rsidRPr="00FF57C1">
        <w:rPr>
          <w:rFonts w:ascii="標楷體" w:hAnsi="標楷體" w:hint="eastAsia"/>
          <w:kern w:val="0"/>
          <w:sz w:val="28"/>
          <w:szCs w:val="28"/>
        </w:rPr>
        <w:t>億餘元，較預算數1</w:t>
      </w:r>
      <w:r w:rsidR="006302A4">
        <w:rPr>
          <w:rFonts w:ascii="標楷體" w:hAnsi="標楷體" w:hint="eastAsia"/>
          <w:kern w:val="0"/>
          <w:sz w:val="28"/>
          <w:szCs w:val="28"/>
        </w:rPr>
        <w:t>92</w:t>
      </w:r>
      <w:r w:rsidR="00155EE6" w:rsidRPr="00FF57C1">
        <w:rPr>
          <w:rFonts w:ascii="標楷體" w:hAnsi="標楷體" w:hint="eastAsia"/>
          <w:kern w:val="0"/>
          <w:sz w:val="28"/>
          <w:szCs w:val="28"/>
        </w:rPr>
        <w:t>億餘元，增加5</w:t>
      </w:r>
      <w:r w:rsidR="006302A4">
        <w:rPr>
          <w:rFonts w:ascii="標楷體" w:hAnsi="標楷體" w:hint="eastAsia"/>
          <w:kern w:val="0"/>
          <w:sz w:val="28"/>
          <w:szCs w:val="28"/>
        </w:rPr>
        <w:t>45</w:t>
      </w:r>
      <w:r w:rsidR="00155EE6" w:rsidRPr="00FF57C1">
        <w:rPr>
          <w:rFonts w:ascii="標楷體" w:hAnsi="標楷體" w:hint="eastAsia"/>
          <w:kern w:val="0"/>
          <w:sz w:val="28"/>
          <w:szCs w:val="28"/>
        </w:rPr>
        <w:t>億餘元，約</w:t>
      </w:r>
      <w:r w:rsidR="006302A4">
        <w:rPr>
          <w:rFonts w:ascii="標楷體" w:hAnsi="標楷體" w:hint="eastAsia"/>
          <w:kern w:val="0"/>
          <w:sz w:val="28"/>
          <w:szCs w:val="28"/>
        </w:rPr>
        <w:t>283.49</w:t>
      </w:r>
      <w:r w:rsidR="00155EE6" w:rsidRPr="00FF57C1">
        <w:rPr>
          <w:rFonts w:ascii="標楷體" w:hAnsi="標楷體" w:hint="eastAsia"/>
          <w:kern w:val="0"/>
          <w:sz w:val="28"/>
          <w:szCs w:val="28"/>
        </w:rPr>
        <w:t>％。</w:t>
      </w:r>
    </w:p>
    <w:p w14:paraId="57C6B6F7" w14:textId="3A44CE60" w:rsidR="00155EE6" w:rsidRPr="002F1694" w:rsidRDefault="00D90362" w:rsidP="0049181B">
      <w:pPr>
        <w:tabs>
          <w:tab w:val="left" w:pos="426"/>
          <w:tab w:val="left" w:pos="709"/>
        </w:tabs>
        <w:spacing w:line="520" w:lineRule="exact"/>
        <w:ind w:firstLineChars="236" w:firstLine="566"/>
        <w:jc w:val="both"/>
        <w:rPr>
          <w:rFonts w:ascii="標楷體" w:hAnsi="標楷體"/>
          <w:spacing w:val="-4"/>
          <w:kern w:val="0"/>
          <w:sz w:val="28"/>
          <w:szCs w:val="28"/>
        </w:rPr>
      </w:pPr>
      <w:bookmarkStart w:id="0" w:name="_GoBack"/>
      <w:r w:rsidRPr="00BD67AC">
        <w:rPr>
          <w:noProof/>
          <w:spacing w:val="-8"/>
        </w:rPr>
        <w:lastRenderedPageBreak/>
        <w:drawing>
          <wp:anchor distT="0" distB="0" distL="114300" distR="114300" simplePos="0" relativeHeight="251659264" behindDoc="0" locked="0" layoutInCell="1" allowOverlap="1" wp14:anchorId="4C89A627" wp14:editId="4B16EA73">
            <wp:simplePos x="0" y="0"/>
            <wp:positionH relativeFrom="margin">
              <wp:posOffset>130175</wp:posOffset>
            </wp:positionH>
            <wp:positionV relativeFrom="margin">
              <wp:posOffset>1149350</wp:posOffset>
            </wp:positionV>
            <wp:extent cx="6195060" cy="3604260"/>
            <wp:effectExtent l="0" t="0" r="0" b="0"/>
            <wp:wrapSquare wrapText="bothSides"/>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bookmarkEnd w:id="0"/>
      <w:r w:rsidR="00457D10" w:rsidRPr="00BD67AC">
        <w:rPr>
          <w:noProof/>
          <w:spacing w:val="-8"/>
        </w:rPr>
        <mc:AlternateContent>
          <mc:Choice Requires="wps">
            <w:drawing>
              <wp:anchor distT="0" distB="0" distL="114300" distR="114300" simplePos="0" relativeHeight="251654144" behindDoc="0" locked="0" layoutInCell="1" allowOverlap="1" wp14:anchorId="0EE52704" wp14:editId="7B2DD470">
                <wp:simplePos x="0" y="0"/>
                <wp:positionH relativeFrom="column">
                  <wp:posOffset>1431290</wp:posOffset>
                </wp:positionH>
                <wp:positionV relativeFrom="paragraph">
                  <wp:posOffset>2287136</wp:posOffset>
                </wp:positionV>
                <wp:extent cx="966470" cy="422275"/>
                <wp:effectExtent l="0" t="0" r="0" b="0"/>
                <wp:wrapNone/>
                <wp:docPr id="16" name="文字方塊 1"/>
                <wp:cNvGraphicFramePr/>
                <a:graphic xmlns:a="http://schemas.openxmlformats.org/drawingml/2006/main">
                  <a:graphicData uri="http://schemas.microsoft.com/office/word/2010/wordprocessingShape">
                    <wps:wsp>
                      <wps:cNvSpPr txBox="1"/>
                      <wps:spPr>
                        <a:xfrm>
                          <a:off x="0" y="0"/>
                          <a:ext cx="966470" cy="422275"/>
                        </a:xfrm>
                        <a:prstGeom prst="rect">
                          <a:avLst/>
                        </a:prstGeom>
                      </wps:spPr>
                      <wps:txbx>
                        <w:txbxContent>
                          <w:p w14:paraId="083B7FED"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未分配盈餘</w:t>
                            </w:r>
                          </w:p>
                          <w:p w14:paraId="6DA76CEE"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693（18.18％）</w:t>
                            </w:r>
                          </w:p>
                        </w:txbxContent>
                      </wps:txbx>
                      <wps:bodyPr vertOverflow="clip" wrap="square"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112.7pt;margin-top:180.1pt;width:76.1pt;height:33.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" filled="f" stroked="f">
                <v:textbox>
                  <w:txbxContent>
                    <w:p w14:paraId="083B7FED"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未分配盈餘</w:t>
                      </w:r>
                    </w:p>
                    <w:p w14:paraId="6DA76CEE"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693（18.18％）</w:t>
                      </w:r>
                    </w:p>
                  </w:txbxContent>
                </v:textbox>
              </v:shape>
            </w:pict>
          </mc:Fallback>
        </mc:AlternateContent>
      </w:r>
      <w:r w:rsidR="00457D10" w:rsidRPr="00BD67AC">
        <w:rPr>
          <w:noProof/>
          <w:spacing w:val="-8"/>
        </w:rPr>
        <mc:AlternateContent>
          <mc:Choice Requires="wps">
            <w:drawing>
              <wp:anchor distT="0" distB="0" distL="114300" distR="114300" simplePos="0" relativeHeight="251653120" behindDoc="0" locked="0" layoutInCell="1" allowOverlap="1" wp14:anchorId="51B6AD74" wp14:editId="640BF5F5">
                <wp:simplePos x="0" y="0"/>
                <wp:positionH relativeFrom="column">
                  <wp:posOffset>2328545</wp:posOffset>
                </wp:positionH>
                <wp:positionV relativeFrom="paragraph">
                  <wp:posOffset>1935279</wp:posOffset>
                </wp:positionV>
                <wp:extent cx="970280" cy="422275"/>
                <wp:effectExtent l="0" t="0" r="0" b="0"/>
                <wp:wrapNone/>
                <wp:docPr id="15" name="文字方塊 1"/>
                <wp:cNvGraphicFramePr/>
                <a:graphic xmlns:a="http://schemas.openxmlformats.org/drawingml/2006/main">
                  <a:graphicData uri="http://schemas.microsoft.com/office/word/2010/wordprocessingShape">
                    <wps:wsp>
                      <wps:cNvSpPr txBox="1"/>
                      <wps:spPr>
                        <a:xfrm>
                          <a:off x="0" y="0"/>
                          <a:ext cx="970280" cy="422275"/>
                        </a:xfrm>
                        <a:prstGeom prst="rect">
                          <a:avLst/>
                        </a:prstGeom>
                      </wps:spPr>
                      <wps:txbx>
                        <w:txbxContent>
                          <w:p w14:paraId="52531C99" w14:textId="77777777" w:rsidR="00155EE6" w:rsidRPr="00B34310" w:rsidRDefault="00155EE6" w:rsidP="00155EE6">
                            <w:pPr>
                              <w:pStyle w:val="Web"/>
                              <w:spacing w:before="0" w:beforeAutospacing="0" w:after="0" w:afterAutospacing="0" w:line="260" w:lineRule="exact"/>
                              <w:jc w:val="center"/>
                              <w:rPr>
                                <w:color w:val="FFFFFF" w:themeColor="background1"/>
                              </w:rPr>
                            </w:pPr>
                            <w:proofErr w:type="gramStart"/>
                            <w:r w:rsidRPr="00B34310">
                              <w:rPr>
                                <w:rFonts w:ascii="標楷體" w:eastAsia="標楷體" w:hAnsi="標楷體" w:cs="+mn-cs" w:hint="eastAsia"/>
                                <w:color w:val="FFFFFF" w:themeColor="background1"/>
                                <w:sz w:val="20"/>
                                <w:szCs w:val="20"/>
                              </w:rPr>
                              <w:t>提存公積</w:t>
                            </w:r>
                            <w:proofErr w:type="gramEnd"/>
                          </w:p>
                          <w:p w14:paraId="597CF96A"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719（18.87％）</w:t>
                            </w:r>
                          </w:p>
                        </w:txbxContent>
                      </wps:txbx>
                      <wps:bodyPr vertOverflow="clip" wrap="square" rtlCol="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83.35pt;margin-top:152.4pt;width:76.4pt;height:33.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" filled="f" stroked="f">
                <v:textbox>
                  <w:txbxContent>
                    <w:p w14:paraId="52531C99" w14:textId="77777777" w:rsidR="00155EE6" w:rsidRPr="00B34310" w:rsidRDefault="00155EE6" w:rsidP="00155EE6">
                      <w:pPr>
                        <w:pStyle w:val="Web"/>
                        <w:spacing w:before="0" w:beforeAutospacing="0" w:after="0" w:afterAutospacing="0" w:line="260" w:lineRule="exact"/>
                        <w:jc w:val="center"/>
                        <w:rPr>
                          <w:color w:val="FFFFFF" w:themeColor="background1"/>
                        </w:rPr>
                      </w:pPr>
                      <w:proofErr w:type="gramStart"/>
                      <w:r w:rsidRPr="00B34310">
                        <w:rPr>
                          <w:rFonts w:ascii="標楷體" w:eastAsia="標楷體" w:hAnsi="標楷體" w:cs="+mn-cs" w:hint="eastAsia"/>
                          <w:color w:val="FFFFFF" w:themeColor="background1"/>
                          <w:sz w:val="20"/>
                          <w:szCs w:val="20"/>
                        </w:rPr>
                        <w:t>提存公積</w:t>
                      </w:r>
                      <w:proofErr w:type="gramEnd"/>
                    </w:p>
                    <w:p w14:paraId="597CF96A"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719（18.87％）</w:t>
                      </w:r>
                    </w:p>
                  </w:txbxContent>
                </v:textbox>
              </v:shape>
            </w:pict>
          </mc:Fallback>
        </mc:AlternateContent>
      </w:r>
      <w:r w:rsidR="00155EE6" w:rsidRPr="00BD67AC">
        <w:rPr>
          <w:rFonts w:ascii="標楷體" w:hAnsi="標楷體" w:hint="eastAsia"/>
          <w:spacing w:val="-8"/>
          <w:kern w:val="0"/>
          <w:sz w:val="28"/>
          <w:szCs w:val="28"/>
        </w:rPr>
        <w:t>以上</w:t>
      </w:r>
      <w:r w:rsidR="00155EE6" w:rsidRPr="00BD67AC">
        <w:rPr>
          <w:rFonts w:ascii="標楷體" w:hAnsi="標楷體" w:hint="eastAsia"/>
          <w:spacing w:val="-8"/>
          <w:sz w:val="28"/>
          <w:szCs w:val="28"/>
        </w:rPr>
        <w:t>分配</w:t>
      </w:r>
      <w:r w:rsidR="009D1158" w:rsidRPr="00BD67AC">
        <w:rPr>
          <w:rFonts w:ascii="標楷體" w:hAnsi="標楷體" w:hint="eastAsia"/>
          <w:spacing w:val="-8"/>
          <w:kern w:val="0"/>
          <w:sz w:val="28"/>
          <w:szCs w:val="28"/>
        </w:rPr>
        <w:t>結果，分配股息</w:t>
      </w:r>
      <w:r w:rsidR="00155EE6" w:rsidRPr="00BD67AC">
        <w:rPr>
          <w:rFonts w:ascii="標楷體" w:hAnsi="標楷體" w:hint="eastAsia"/>
          <w:spacing w:val="-8"/>
          <w:kern w:val="0"/>
          <w:sz w:val="28"/>
          <w:szCs w:val="28"/>
        </w:rPr>
        <w:t>紅利占可分配盈餘5</w:t>
      </w:r>
      <w:r w:rsidR="00BD67AC" w:rsidRPr="00BD67AC">
        <w:rPr>
          <w:rFonts w:ascii="標楷體" w:hAnsi="標楷體" w:hint="eastAsia"/>
          <w:spacing w:val="-8"/>
          <w:kern w:val="0"/>
          <w:sz w:val="28"/>
          <w:szCs w:val="28"/>
        </w:rPr>
        <w:t>2.69</w:t>
      </w:r>
      <w:r w:rsidR="00155EE6" w:rsidRPr="00BD67AC">
        <w:rPr>
          <w:rFonts w:ascii="標楷體" w:hAnsi="標楷體" w:hint="eastAsia"/>
          <w:spacing w:val="-8"/>
          <w:kern w:val="0"/>
          <w:sz w:val="28"/>
          <w:szCs w:val="28"/>
        </w:rPr>
        <w:t>％，</w:t>
      </w:r>
      <w:r w:rsidR="00BD67AC" w:rsidRPr="00BD67AC">
        <w:rPr>
          <w:rFonts w:ascii="標楷體" w:hAnsi="標楷體" w:hint="eastAsia"/>
          <w:spacing w:val="-8"/>
          <w:kern w:val="0"/>
          <w:sz w:val="28"/>
          <w:szCs w:val="28"/>
        </w:rPr>
        <w:t>未分配盈餘占20.52％</w:t>
      </w:r>
      <w:r w:rsidR="00155EE6" w:rsidRPr="00D837B0">
        <w:rPr>
          <w:rFonts w:ascii="標楷體" w:hAnsi="標楷體" w:hint="eastAsia"/>
          <w:spacing w:val="-4"/>
          <w:kern w:val="0"/>
          <w:sz w:val="28"/>
          <w:szCs w:val="28"/>
        </w:rPr>
        <w:t>，</w:t>
      </w:r>
      <w:r w:rsidR="00BD67AC" w:rsidRPr="00D837B0">
        <w:rPr>
          <w:rFonts w:ascii="標楷體" w:hAnsi="標楷體" w:hint="eastAsia"/>
          <w:spacing w:val="-4"/>
          <w:kern w:val="0"/>
          <w:sz w:val="28"/>
          <w:szCs w:val="28"/>
        </w:rPr>
        <w:t>提</w:t>
      </w:r>
      <w:proofErr w:type="gramStart"/>
      <w:r w:rsidR="00BD67AC" w:rsidRPr="00D837B0">
        <w:rPr>
          <w:rFonts w:ascii="標楷體" w:hAnsi="標楷體" w:hint="eastAsia"/>
          <w:spacing w:val="-4"/>
          <w:kern w:val="0"/>
          <w:sz w:val="28"/>
          <w:szCs w:val="28"/>
        </w:rPr>
        <w:t>存公積占</w:t>
      </w:r>
      <w:proofErr w:type="gramEnd"/>
      <w:r w:rsidR="00BD67AC" w:rsidRPr="00D837B0">
        <w:rPr>
          <w:rFonts w:ascii="標楷體" w:hAnsi="標楷體" w:hint="eastAsia"/>
          <w:spacing w:val="-4"/>
          <w:kern w:val="0"/>
          <w:sz w:val="28"/>
          <w:szCs w:val="28"/>
        </w:rPr>
        <w:t>18.</w:t>
      </w:r>
      <w:r w:rsidR="00BD67AC">
        <w:rPr>
          <w:rFonts w:ascii="標楷體" w:hAnsi="標楷體" w:hint="eastAsia"/>
          <w:spacing w:val="-4"/>
          <w:kern w:val="0"/>
          <w:sz w:val="28"/>
          <w:szCs w:val="28"/>
        </w:rPr>
        <w:t>50</w:t>
      </w:r>
      <w:r w:rsidR="00BD67AC" w:rsidRPr="00D837B0">
        <w:rPr>
          <w:rFonts w:ascii="標楷體" w:hAnsi="標楷體" w:hint="eastAsia"/>
          <w:spacing w:val="-4"/>
          <w:kern w:val="0"/>
          <w:sz w:val="28"/>
          <w:szCs w:val="28"/>
        </w:rPr>
        <w:t>％</w:t>
      </w:r>
      <w:r w:rsidR="00155EE6" w:rsidRPr="00D837B0">
        <w:rPr>
          <w:rFonts w:ascii="標楷體" w:hAnsi="標楷體" w:hint="eastAsia"/>
          <w:kern w:val="0"/>
          <w:sz w:val="28"/>
          <w:szCs w:val="28"/>
        </w:rPr>
        <w:t>，填補</w:t>
      </w:r>
      <w:r w:rsidR="00BD67AC">
        <w:rPr>
          <w:rFonts w:ascii="標楷體" w:hAnsi="標楷體" w:hint="eastAsia"/>
          <w:kern w:val="0"/>
          <w:sz w:val="28"/>
          <w:szCs w:val="28"/>
        </w:rPr>
        <w:t>累積</w:t>
      </w:r>
      <w:r w:rsidR="00155EE6" w:rsidRPr="00D837B0">
        <w:rPr>
          <w:rFonts w:ascii="標楷體" w:hAnsi="標楷體" w:hint="eastAsia"/>
          <w:kern w:val="0"/>
          <w:sz w:val="28"/>
          <w:szCs w:val="28"/>
        </w:rPr>
        <w:t>虧損占</w:t>
      </w:r>
      <w:r w:rsidR="00BD67AC">
        <w:rPr>
          <w:rFonts w:ascii="標楷體" w:hAnsi="標楷體" w:hint="eastAsia"/>
          <w:kern w:val="0"/>
          <w:sz w:val="28"/>
          <w:szCs w:val="28"/>
        </w:rPr>
        <w:t>7.20</w:t>
      </w:r>
      <w:r w:rsidR="00155EE6" w:rsidRPr="00D837B0">
        <w:rPr>
          <w:rFonts w:ascii="標楷體" w:hAnsi="標楷體" w:hint="eastAsia"/>
          <w:kern w:val="0"/>
          <w:sz w:val="28"/>
          <w:szCs w:val="28"/>
        </w:rPr>
        <w:t>％，其他依法分配數占0.</w:t>
      </w:r>
      <w:r w:rsidR="00BD67AC">
        <w:rPr>
          <w:rFonts w:ascii="標楷體" w:hAnsi="標楷體" w:hint="eastAsia"/>
          <w:kern w:val="0"/>
          <w:sz w:val="28"/>
          <w:szCs w:val="28"/>
        </w:rPr>
        <w:t>68</w:t>
      </w:r>
      <w:r w:rsidR="00155EE6" w:rsidRPr="00D837B0">
        <w:rPr>
          <w:rFonts w:ascii="標楷體" w:hAnsi="標楷體" w:hint="eastAsia"/>
          <w:kern w:val="0"/>
          <w:sz w:val="28"/>
          <w:szCs w:val="28"/>
        </w:rPr>
        <w:t>％</w:t>
      </w:r>
      <w:r w:rsidR="00155EE6" w:rsidRPr="00D837B0">
        <w:rPr>
          <w:rFonts w:ascii="標楷體" w:hAnsi="標楷體" w:hint="eastAsia"/>
          <w:kern w:val="0"/>
          <w:sz w:val="28"/>
          <w:szCs w:val="28"/>
          <w:lang w:eastAsia="zh-HK"/>
        </w:rPr>
        <w:t>、</w:t>
      </w:r>
      <w:proofErr w:type="gramStart"/>
      <w:r w:rsidR="00155EE6" w:rsidRPr="00D837B0">
        <w:rPr>
          <w:rFonts w:ascii="標楷體" w:hAnsi="標楷體" w:hint="eastAsia"/>
          <w:kern w:val="0"/>
          <w:sz w:val="28"/>
          <w:szCs w:val="28"/>
        </w:rPr>
        <w:t>提撥</w:t>
      </w:r>
      <w:proofErr w:type="gramEnd"/>
      <w:r w:rsidR="00155EE6" w:rsidRPr="00D837B0">
        <w:rPr>
          <w:rFonts w:ascii="標楷體" w:hAnsi="標楷體" w:hint="eastAsia"/>
          <w:kern w:val="0"/>
          <w:sz w:val="28"/>
          <w:szCs w:val="28"/>
        </w:rPr>
        <w:t>地方政府占0.</w:t>
      </w:r>
      <w:r w:rsidR="00BD67AC">
        <w:rPr>
          <w:rFonts w:ascii="標楷體" w:hAnsi="標楷體" w:hint="eastAsia"/>
          <w:kern w:val="0"/>
          <w:sz w:val="28"/>
          <w:szCs w:val="28"/>
        </w:rPr>
        <w:t>41</w:t>
      </w:r>
      <w:r w:rsidR="00155EE6" w:rsidRPr="00D837B0">
        <w:rPr>
          <w:rFonts w:ascii="標楷體" w:hAnsi="標楷體" w:hint="eastAsia"/>
          <w:kern w:val="0"/>
          <w:sz w:val="28"/>
          <w:szCs w:val="28"/>
        </w:rPr>
        <w:t>％</w:t>
      </w:r>
      <w:r w:rsidR="00155EE6" w:rsidRPr="00D837B0">
        <w:rPr>
          <w:rFonts w:ascii="標楷體" w:hAnsi="標楷體" w:hint="eastAsia"/>
          <w:sz w:val="28"/>
          <w:szCs w:val="28"/>
        </w:rPr>
        <w:t>（</w:t>
      </w:r>
      <w:r w:rsidR="00C33594" w:rsidRPr="00D837B0">
        <w:rPr>
          <w:rFonts w:ascii="標楷體" w:hAnsi="標楷體" w:hint="eastAsia"/>
          <w:sz w:val="28"/>
          <w:szCs w:val="28"/>
        </w:rPr>
        <w:t>如下</w:t>
      </w:r>
      <w:r w:rsidR="00155EE6" w:rsidRPr="00D837B0">
        <w:rPr>
          <w:rFonts w:ascii="標楷體" w:hAnsi="標楷體" w:hint="eastAsia"/>
          <w:sz w:val="28"/>
          <w:szCs w:val="28"/>
        </w:rPr>
        <w:t>圖）</w:t>
      </w:r>
      <w:r w:rsidR="00155EE6" w:rsidRPr="00D837B0">
        <w:rPr>
          <w:rFonts w:ascii="標楷體" w:hAnsi="標楷體" w:hint="eastAsia"/>
          <w:kern w:val="0"/>
          <w:sz w:val="28"/>
          <w:szCs w:val="28"/>
        </w:rPr>
        <w:t>。</w:t>
      </w:r>
    </w:p>
    <w:p w14:paraId="7D65F5B9" w14:textId="2100E458" w:rsidR="00155EE6" w:rsidRPr="00711BED" w:rsidRDefault="00155EE6" w:rsidP="00711BED">
      <w:pPr>
        <w:pStyle w:val="aff9"/>
        <w:tabs>
          <w:tab w:val="left" w:pos="3686"/>
          <w:tab w:val="left" w:pos="3828"/>
        </w:tabs>
        <w:overflowPunct w:val="0"/>
        <w:spacing w:before="72" w:after="72" w:line="520" w:lineRule="exact"/>
        <w:ind w:leftChars="0" w:left="0" w:firstLineChars="100" w:firstLine="320"/>
        <w:rPr>
          <w:kern w:val="0"/>
        </w:rPr>
      </w:pPr>
      <w:r w:rsidRPr="00711BED">
        <w:rPr>
          <w:rFonts w:hint="eastAsia"/>
          <w:kern w:val="0"/>
        </w:rPr>
        <w:t>二、虧損填補</w:t>
      </w:r>
    </w:p>
    <w:p w14:paraId="4B90ABCC" w14:textId="666F1BF1" w:rsidR="00155EE6" w:rsidRPr="00FF57C1" w:rsidRDefault="00125934" w:rsidP="0049181B">
      <w:pPr>
        <w:overflowPunct w:val="0"/>
        <w:spacing w:line="520" w:lineRule="exact"/>
        <w:ind w:leftChars="9" w:left="22" w:firstLineChars="200" w:firstLine="560"/>
        <w:jc w:val="both"/>
        <w:rPr>
          <w:rFonts w:ascii="標楷體" w:hAnsi="標楷體"/>
          <w:spacing w:val="2"/>
          <w:kern w:val="0"/>
          <w:sz w:val="28"/>
          <w:szCs w:val="28"/>
        </w:rPr>
      </w:pPr>
      <w:proofErr w:type="gramStart"/>
      <w:r>
        <w:rPr>
          <w:rFonts w:ascii="標楷體" w:hAnsi="標楷體" w:hint="eastAsia"/>
          <w:kern w:val="0"/>
          <w:sz w:val="28"/>
          <w:szCs w:val="28"/>
        </w:rPr>
        <w:t>110</w:t>
      </w:r>
      <w:proofErr w:type="gramEnd"/>
      <w:r w:rsidRPr="00FF57C1">
        <w:rPr>
          <w:rFonts w:ascii="標楷體" w:hAnsi="標楷體" w:hint="eastAsia"/>
          <w:kern w:val="0"/>
          <w:sz w:val="28"/>
          <w:szCs w:val="28"/>
        </w:rPr>
        <w:t>年度審定決算列有虧損者</w:t>
      </w:r>
      <w:r w:rsidRPr="00FF57C1">
        <w:rPr>
          <w:rFonts w:ascii="標楷體" w:hAnsi="標楷體" w:hint="eastAsia"/>
          <w:kern w:val="0"/>
          <w:sz w:val="28"/>
          <w:szCs w:val="28"/>
          <w:lang w:eastAsia="zh-HK"/>
        </w:rPr>
        <w:t>，</w:t>
      </w:r>
      <w:r w:rsidRPr="00FF57C1">
        <w:rPr>
          <w:rFonts w:ascii="標楷體" w:hAnsi="標楷體" w:hint="eastAsia"/>
          <w:kern w:val="0"/>
          <w:sz w:val="28"/>
          <w:szCs w:val="28"/>
        </w:rPr>
        <w:t>有台灣中油公司</w:t>
      </w:r>
      <w:r w:rsidRPr="00FF57C1">
        <w:rPr>
          <w:rFonts w:ascii="標楷體" w:hAnsi="標楷體" w:hint="eastAsia"/>
          <w:kern w:val="0"/>
          <w:sz w:val="28"/>
          <w:szCs w:val="28"/>
          <w:lang w:eastAsia="zh-HK"/>
        </w:rPr>
        <w:t>、</w:t>
      </w:r>
      <w:r w:rsidRPr="00FF57C1">
        <w:rPr>
          <w:rFonts w:ascii="標楷體" w:hAnsi="標楷體" w:hint="eastAsia"/>
          <w:kern w:val="0"/>
          <w:sz w:val="28"/>
          <w:szCs w:val="28"/>
        </w:rPr>
        <w:t>台灣自來水公司</w:t>
      </w:r>
      <w:r w:rsidRPr="00FF57C1">
        <w:rPr>
          <w:rFonts w:ascii="標楷體" w:hAnsi="標楷體" w:hint="eastAsia"/>
          <w:kern w:val="0"/>
          <w:sz w:val="28"/>
          <w:szCs w:val="28"/>
          <w:lang w:eastAsia="zh-HK"/>
        </w:rPr>
        <w:t>、</w:t>
      </w:r>
      <w:r w:rsidRPr="00FF57C1">
        <w:rPr>
          <w:rFonts w:ascii="標楷體" w:hAnsi="標楷體" w:hint="eastAsia"/>
          <w:kern w:val="0"/>
          <w:sz w:val="28"/>
          <w:szCs w:val="28"/>
        </w:rPr>
        <w:t>臺</w:t>
      </w:r>
      <w:r>
        <w:rPr>
          <w:rFonts w:ascii="標楷體" w:hAnsi="標楷體" w:hint="eastAsia"/>
          <w:kern w:val="0"/>
          <w:sz w:val="28"/>
          <w:szCs w:val="28"/>
        </w:rPr>
        <w:t>灣</w:t>
      </w:r>
      <w:r w:rsidRPr="00FF57C1">
        <w:rPr>
          <w:rFonts w:ascii="標楷體" w:hAnsi="標楷體" w:hint="eastAsia"/>
          <w:kern w:val="0"/>
          <w:sz w:val="28"/>
          <w:szCs w:val="28"/>
        </w:rPr>
        <w:t>鐵</w:t>
      </w:r>
      <w:r>
        <w:rPr>
          <w:rFonts w:ascii="標楷體" w:hAnsi="標楷體" w:hint="eastAsia"/>
          <w:kern w:val="0"/>
          <w:sz w:val="28"/>
          <w:szCs w:val="28"/>
        </w:rPr>
        <w:t>路管理</w:t>
      </w:r>
      <w:r w:rsidRPr="00FF57C1">
        <w:rPr>
          <w:rFonts w:ascii="標楷體" w:hAnsi="標楷體" w:hint="eastAsia"/>
          <w:kern w:val="0"/>
          <w:sz w:val="28"/>
          <w:szCs w:val="28"/>
        </w:rPr>
        <w:t>局</w:t>
      </w:r>
      <w:r w:rsidRPr="00FF57C1">
        <w:rPr>
          <w:rFonts w:ascii="標楷體" w:hAnsi="標楷體" w:hint="eastAsia"/>
          <w:kern w:val="0"/>
          <w:sz w:val="28"/>
          <w:szCs w:val="28"/>
          <w:lang w:eastAsia="zh-HK"/>
        </w:rPr>
        <w:t>及</w:t>
      </w:r>
      <w:r w:rsidRPr="00FF57C1">
        <w:rPr>
          <w:rFonts w:ascii="標楷體" w:hAnsi="標楷體" w:hint="eastAsia"/>
          <w:kern w:val="0"/>
          <w:sz w:val="28"/>
          <w:szCs w:val="28"/>
        </w:rPr>
        <w:t>桃園國際機場公司等4家，</w:t>
      </w:r>
      <w:r w:rsidRPr="00FF57C1">
        <w:rPr>
          <w:rFonts w:ascii="標楷體" w:hAnsi="標楷體" w:hint="eastAsia"/>
          <w:kern w:val="0"/>
          <w:sz w:val="28"/>
          <w:szCs w:val="28"/>
          <w:lang w:eastAsia="zh-HK"/>
        </w:rPr>
        <w:t>計</w:t>
      </w:r>
      <w:r w:rsidRPr="00FF57C1">
        <w:rPr>
          <w:rFonts w:ascii="標楷體" w:hAnsi="標楷體" w:hint="eastAsia"/>
          <w:kern w:val="0"/>
          <w:sz w:val="28"/>
          <w:szCs w:val="28"/>
        </w:rPr>
        <w:t>虧損</w:t>
      </w:r>
      <w:r>
        <w:rPr>
          <w:rFonts w:ascii="標楷體" w:hAnsi="標楷體" w:hint="eastAsia"/>
          <w:kern w:val="0"/>
          <w:sz w:val="28"/>
          <w:szCs w:val="28"/>
        </w:rPr>
        <w:t>556</w:t>
      </w:r>
      <w:r w:rsidRPr="00FF57C1">
        <w:rPr>
          <w:rFonts w:ascii="標楷體" w:hAnsi="標楷體" w:hint="eastAsia"/>
          <w:kern w:val="0"/>
          <w:sz w:val="28"/>
          <w:szCs w:val="28"/>
        </w:rPr>
        <w:t>億餘元，連同</w:t>
      </w:r>
      <w:r w:rsidRPr="00FF57C1">
        <w:rPr>
          <w:rFonts w:ascii="標楷體" w:hAnsi="標楷體" w:hint="eastAsia"/>
          <w:kern w:val="0"/>
          <w:sz w:val="28"/>
          <w:szCs w:val="28"/>
          <w:lang w:eastAsia="zh-HK"/>
        </w:rPr>
        <w:t>台灣電力公司</w:t>
      </w:r>
      <w:r w:rsidRPr="00FF57C1">
        <w:rPr>
          <w:rFonts w:ascii="標楷體" w:hAnsi="標楷體" w:hint="eastAsia"/>
          <w:kern w:val="0"/>
          <w:sz w:val="28"/>
          <w:szCs w:val="28"/>
        </w:rPr>
        <w:t>等</w:t>
      </w:r>
      <w:r>
        <w:rPr>
          <w:rFonts w:ascii="標楷體" w:hAnsi="標楷體" w:hint="eastAsia"/>
          <w:kern w:val="0"/>
          <w:sz w:val="28"/>
          <w:szCs w:val="28"/>
        </w:rPr>
        <w:t>5</w:t>
      </w:r>
      <w:r w:rsidRPr="00FF57C1">
        <w:rPr>
          <w:rFonts w:ascii="標楷體" w:hAnsi="標楷體" w:hint="eastAsia"/>
          <w:kern w:val="0"/>
          <w:sz w:val="28"/>
          <w:szCs w:val="28"/>
        </w:rPr>
        <w:t>家</w:t>
      </w:r>
      <w:r w:rsidRPr="00FF57C1">
        <w:rPr>
          <w:rFonts w:ascii="標楷體" w:hAnsi="標楷體" w:hint="eastAsia"/>
          <w:spacing w:val="2"/>
          <w:kern w:val="0"/>
          <w:sz w:val="28"/>
          <w:szCs w:val="28"/>
          <w:lang w:eastAsia="zh-HK"/>
        </w:rPr>
        <w:t>之</w:t>
      </w:r>
      <w:r w:rsidRPr="00FF57C1">
        <w:rPr>
          <w:rFonts w:ascii="標楷體" w:hAnsi="標楷體" w:hint="eastAsia"/>
          <w:spacing w:val="2"/>
          <w:kern w:val="0"/>
          <w:sz w:val="28"/>
          <w:szCs w:val="28"/>
        </w:rPr>
        <w:t>歷年累積虧損</w:t>
      </w:r>
      <w:r>
        <w:rPr>
          <w:rFonts w:ascii="標楷體" w:hAnsi="標楷體" w:hint="eastAsia"/>
          <w:spacing w:val="2"/>
          <w:kern w:val="0"/>
          <w:sz w:val="28"/>
          <w:szCs w:val="28"/>
        </w:rPr>
        <w:t>1</w:t>
      </w:r>
      <w:r w:rsidRPr="00FF57C1">
        <w:rPr>
          <w:rFonts w:ascii="標楷體" w:hAnsi="標楷體" w:hint="eastAsia"/>
          <w:spacing w:val="2"/>
          <w:kern w:val="0"/>
          <w:sz w:val="28"/>
          <w:szCs w:val="28"/>
        </w:rPr>
        <w:t>,</w:t>
      </w:r>
      <w:r>
        <w:rPr>
          <w:rFonts w:ascii="標楷體" w:hAnsi="標楷體" w:hint="eastAsia"/>
          <w:spacing w:val="2"/>
          <w:kern w:val="0"/>
          <w:sz w:val="28"/>
          <w:szCs w:val="28"/>
        </w:rPr>
        <w:t>940</w:t>
      </w:r>
      <w:r w:rsidRPr="00FF57C1">
        <w:rPr>
          <w:rFonts w:ascii="標楷體" w:hAnsi="標楷體" w:hint="eastAsia"/>
          <w:spacing w:val="2"/>
          <w:kern w:val="0"/>
          <w:sz w:val="28"/>
          <w:szCs w:val="28"/>
        </w:rPr>
        <w:t>億餘元</w:t>
      </w:r>
      <w:r w:rsidRPr="00FF57C1">
        <w:rPr>
          <w:rFonts w:ascii="標楷體" w:hAnsi="標楷體" w:hint="eastAsia"/>
          <w:spacing w:val="2"/>
          <w:kern w:val="0"/>
          <w:sz w:val="28"/>
          <w:szCs w:val="28"/>
          <w:lang w:eastAsia="zh-HK"/>
        </w:rPr>
        <w:t>，暨中央銀行等</w:t>
      </w:r>
      <w:r>
        <w:rPr>
          <w:rFonts w:ascii="標楷體" w:hAnsi="標楷體" w:hint="eastAsia"/>
          <w:spacing w:val="2"/>
          <w:kern w:val="0"/>
          <w:sz w:val="28"/>
          <w:szCs w:val="28"/>
        </w:rPr>
        <w:t>9</w:t>
      </w:r>
      <w:r w:rsidRPr="00FF57C1">
        <w:rPr>
          <w:rFonts w:ascii="標楷體" w:hAnsi="標楷體" w:hint="eastAsia"/>
          <w:spacing w:val="2"/>
          <w:kern w:val="0"/>
          <w:sz w:val="28"/>
          <w:szCs w:val="28"/>
          <w:lang w:eastAsia="zh-HK"/>
        </w:rPr>
        <w:t>家之</w:t>
      </w:r>
      <w:r w:rsidRPr="00FF57C1">
        <w:rPr>
          <w:rFonts w:ascii="標楷體" w:hAnsi="標楷體" w:hint="eastAsia"/>
          <w:spacing w:val="2"/>
          <w:kern w:val="0"/>
          <w:sz w:val="28"/>
          <w:szCs w:val="28"/>
        </w:rPr>
        <w:t>其他綜合</w:t>
      </w:r>
      <w:r w:rsidRPr="00FF57C1">
        <w:rPr>
          <w:rFonts w:ascii="標楷體" w:hAnsi="標楷體" w:hint="eastAsia"/>
          <w:spacing w:val="4"/>
          <w:kern w:val="0"/>
          <w:sz w:val="28"/>
          <w:szCs w:val="28"/>
        </w:rPr>
        <w:t>損益轉入數</w:t>
      </w:r>
      <w:r>
        <w:rPr>
          <w:rFonts w:ascii="標楷體" w:hAnsi="標楷體" w:hint="eastAsia"/>
          <w:spacing w:val="4"/>
          <w:kern w:val="0"/>
          <w:sz w:val="28"/>
          <w:szCs w:val="28"/>
        </w:rPr>
        <w:t>46</w:t>
      </w:r>
      <w:r w:rsidRPr="00FF57C1">
        <w:rPr>
          <w:rFonts w:ascii="標楷體" w:hAnsi="標楷體" w:hint="eastAsia"/>
          <w:spacing w:val="4"/>
          <w:kern w:val="0"/>
          <w:sz w:val="28"/>
          <w:szCs w:val="28"/>
        </w:rPr>
        <w:t>億餘元，合計虧損2,</w:t>
      </w:r>
      <w:r>
        <w:rPr>
          <w:rFonts w:ascii="標楷體" w:hAnsi="標楷體" w:hint="eastAsia"/>
          <w:spacing w:val="4"/>
          <w:kern w:val="0"/>
          <w:sz w:val="28"/>
          <w:szCs w:val="28"/>
        </w:rPr>
        <w:t>543</w:t>
      </w:r>
      <w:r w:rsidRPr="00FF57C1">
        <w:rPr>
          <w:rFonts w:ascii="標楷體" w:hAnsi="標楷體" w:hint="eastAsia"/>
          <w:spacing w:val="4"/>
          <w:kern w:val="0"/>
          <w:sz w:val="28"/>
          <w:szCs w:val="28"/>
        </w:rPr>
        <w:t>億餘元，經中央銀行、台灣</w:t>
      </w:r>
      <w:r>
        <w:rPr>
          <w:rFonts w:ascii="標楷體" w:hAnsi="標楷體" w:hint="eastAsia"/>
          <w:spacing w:val="4"/>
          <w:kern w:val="0"/>
          <w:sz w:val="28"/>
          <w:szCs w:val="28"/>
        </w:rPr>
        <w:t>糖業</w:t>
      </w:r>
      <w:r w:rsidRPr="00FF57C1">
        <w:rPr>
          <w:rFonts w:ascii="標楷體" w:hAnsi="標楷體" w:hint="eastAsia"/>
          <w:spacing w:val="4"/>
          <w:kern w:val="0"/>
          <w:sz w:val="28"/>
          <w:szCs w:val="28"/>
        </w:rPr>
        <w:t>公司、台灣中油公司、台灣電力公司、台灣自來水公司、中國輸出入銀行、臺灣金融控股公司、臺灣土地銀行公司、</w:t>
      </w:r>
      <w:r w:rsidRPr="00FF57C1">
        <w:rPr>
          <w:rFonts w:ascii="標楷體" w:hAnsi="標楷體" w:hint="eastAsia"/>
          <w:kern w:val="0"/>
          <w:sz w:val="28"/>
          <w:szCs w:val="28"/>
        </w:rPr>
        <w:t>臺</w:t>
      </w:r>
      <w:r>
        <w:rPr>
          <w:rFonts w:ascii="標楷體" w:hAnsi="標楷體" w:hint="eastAsia"/>
          <w:kern w:val="0"/>
          <w:sz w:val="28"/>
          <w:szCs w:val="28"/>
        </w:rPr>
        <w:t>灣</w:t>
      </w:r>
      <w:r w:rsidRPr="00FF57C1">
        <w:rPr>
          <w:rFonts w:ascii="標楷體" w:hAnsi="標楷體" w:hint="eastAsia"/>
          <w:kern w:val="0"/>
          <w:sz w:val="28"/>
          <w:szCs w:val="28"/>
        </w:rPr>
        <w:t>鐵</w:t>
      </w:r>
      <w:r>
        <w:rPr>
          <w:rFonts w:ascii="標楷體" w:hAnsi="標楷體" w:hint="eastAsia"/>
          <w:kern w:val="0"/>
          <w:sz w:val="28"/>
          <w:szCs w:val="28"/>
        </w:rPr>
        <w:t>路管理</w:t>
      </w:r>
      <w:r w:rsidRPr="00FF57C1">
        <w:rPr>
          <w:rFonts w:ascii="標楷體" w:hAnsi="標楷體" w:hint="eastAsia"/>
          <w:kern w:val="0"/>
          <w:sz w:val="28"/>
          <w:szCs w:val="28"/>
        </w:rPr>
        <w:t>局</w:t>
      </w:r>
      <w:r w:rsidRPr="00FF57C1">
        <w:rPr>
          <w:rFonts w:ascii="標楷體" w:hAnsi="標楷體" w:hint="eastAsia"/>
          <w:spacing w:val="4"/>
          <w:kern w:val="0"/>
          <w:sz w:val="28"/>
          <w:szCs w:val="28"/>
        </w:rPr>
        <w:t>及桃園國際機場公司等撥用盈餘</w:t>
      </w:r>
      <w:r>
        <w:rPr>
          <w:rFonts w:ascii="標楷體" w:hAnsi="標楷體" w:hint="eastAsia"/>
          <w:spacing w:val="4"/>
          <w:kern w:val="0"/>
          <w:sz w:val="28"/>
          <w:szCs w:val="28"/>
        </w:rPr>
        <w:t>259</w:t>
      </w:r>
      <w:r w:rsidRPr="00FF57C1">
        <w:rPr>
          <w:rFonts w:ascii="標楷體" w:hAnsi="標楷體" w:hint="eastAsia"/>
          <w:spacing w:val="4"/>
          <w:kern w:val="0"/>
          <w:sz w:val="28"/>
          <w:szCs w:val="28"/>
        </w:rPr>
        <w:t>億餘元填補外，尚有待填補之虧損</w:t>
      </w:r>
      <w:r>
        <w:rPr>
          <w:rFonts w:ascii="標楷體" w:hAnsi="標楷體" w:hint="eastAsia"/>
          <w:spacing w:val="4"/>
          <w:kern w:val="0"/>
          <w:sz w:val="28"/>
          <w:szCs w:val="28"/>
        </w:rPr>
        <w:t>2</w:t>
      </w:r>
      <w:r w:rsidRPr="00FF57C1">
        <w:rPr>
          <w:rFonts w:ascii="標楷體" w:hAnsi="標楷體" w:hint="eastAsia"/>
          <w:spacing w:val="4"/>
          <w:kern w:val="0"/>
          <w:sz w:val="28"/>
          <w:szCs w:val="28"/>
        </w:rPr>
        <w:t>,</w:t>
      </w:r>
      <w:r>
        <w:rPr>
          <w:rFonts w:ascii="標楷體" w:hAnsi="標楷體" w:hint="eastAsia"/>
          <w:spacing w:val="4"/>
          <w:kern w:val="0"/>
          <w:sz w:val="28"/>
          <w:szCs w:val="28"/>
        </w:rPr>
        <w:t>283</w:t>
      </w:r>
      <w:r w:rsidRPr="00FF57C1">
        <w:rPr>
          <w:rFonts w:ascii="標楷體" w:hAnsi="標楷體" w:hint="eastAsia"/>
          <w:spacing w:val="4"/>
          <w:kern w:val="0"/>
          <w:sz w:val="28"/>
          <w:szCs w:val="28"/>
        </w:rPr>
        <w:t>億餘元，留待以後年度填補。</w:t>
      </w:r>
    </w:p>
    <w:p w14:paraId="081B990A" w14:textId="77777777" w:rsidR="00155EE6" w:rsidRPr="00711BED" w:rsidRDefault="00155EE6" w:rsidP="00711BED">
      <w:pPr>
        <w:pStyle w:val="aff9"/>
        <w:tabs>
          <w:tab w:val="left" w:pos="3686"/>
          <w:tab w:val="left" w:pos="3828"/>
        </w:tabs>
        <w:overflowPunct w:val="0"/>
        <w:spacing w:before="72" w:after="72" w:line="520" w:lineRule="exact"/>
        <w:ind w:leftChars="0" w:left="0" w:firstLineChars="100" w:firstLine="320"/>
        <w:rPr>
          <w:kern w:val="0"/>
        </w:rPr>
      </w:pPr>
      <w:r w:rsidRPr="00711BED">
        <w:rPr>
          <w:rFonts w:hint="eastAsia"/>
          <w:kern w:val="0"/>
        </w:rPr>
        <w:t>三、盈餘繳庫</w:t>
      </w:r>
    </w:p>
    <w:p w14:paraId="25CAC5A3" w14:textId="39AE1225" w:rsidR="00155EE6" w:rsidRPr="006F66CE" w:rsidRDefault="00125934" w:rsidP="00C33423">
      <w:pPr>
        <w:overflowPunct w:val="0"/>
        <w:spacing w:line="500" w:lineRule="exact"/>
        <w:ind w:leftChars="9" w:left="22" w:firstLineChars="203" w:firstLine="572"/>
        <w:jc w:val="both"/>
        <w:rPr>
          <w:rFonts w:ascii="標楷體" w:hAnsi="標楷體"/>
          <w:spacing w:val="1"/>
          <w:kern w:val="0"/>
          <w:sz w:val="28"/>
          <w:szCs w:val="28"/>
        </w:rPr>
      </w:pPr>
      <w:proofErr w:type="gramStart"/>
      <w:r w:rsidRPr="006F66CE">
        <w:rPr>
          <w:rFonts w:ascii="標楷體" w:hAnsi="標楷體" w:hint="eastAsia"/>
          <w:spacing w:val="1"/>
          <w:kern w:val="0"/>
          <w:sz w:val="28"/>
          <w:szCs w:val="28"/>
        </w:rPr>
        <w:t>110</w:t>
      </w:r>
      <w:proofErr w:type="gramEnd"/>
      <w:r w:rsidRPr="006F66CE">
        <w:rPr>
          <w:rFonts w:ascii="標楷體" w:hAnsi="標楷體" w:hint="eastAsia"/>
          <w:spacing w:val="1"/>
          <w:kern w:val="0"/>
          <w:sz w:val="28"/>
          <w:szCs w:val="28"/>
        </w:rPr>
        <w:t>年度審定決算國營事業共計繳納國庫1,893億餘元，較預算數1,939億餘元，減少45億餘元，約2.36％，占中央政府投資之資本額1兆2,830億餘元之14.76％。</w:t>
      </w:r>
    </w:p>
    <w:sectPr w:rsidR="00155EE6" w:rsidRPr="006F66CE" w:rsidSect="000453FA">
      <w:footerReference w:type="even" r:id="rId10"/>
      <w:footerReference w:type="default" r:id="rId11"/>
      <w:pgSz w:w="11906" w:h="16838" w:code="9"/>
      <w:pgMar w:top="1418" w:right="851" w:bottom="1418" w:left="851" w:header="1021" w:footer="737" w:gutter="284"/>
      <w:pgNumType w:start="3"/>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88AC86" w14:textId="77777777" w:rsidR="00933F80" w:rsidRDefault="00933F80" w:rsidP="00087D33">
      <w:r>
        <w:separator/>
      </w:r>
    </w:p>
  </w:endnote>
  <w:endnote w:type="continuationSeparator" w:id="0">
    <w:p w14:paraId="733F623A" w14:textId="77777777" w:rsidR="00933F80" w:rsidRDefault="00933F80"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4F39D" w14:textId="7AA11518" w:rsidR="006A2BB5" w:rsidRPr="00912DA3" w:rsidRDefault="006A2BB5" w:rsidP="00912DA3">
    <w:pPr>
      <w:pStyle w:val="a7"/>
      <w:jc w:val="center"/>
      <w:rPr>
        <w:rFonts w:ascii="標楷體" w:hAnsi="標楷體"/>
      </w:rPr>
    </w:pPr>
    <w:r w:rsidRPr="006A2BB5">
      <w:rPr>
        <w:rFonts w:ascii="標楷體" w:hAnsi="標楷體" w:hint="eastAsia"/>
      </w:rPr>
      <w:t>甲－</w:t>
    </w:r>
    <w:sdt>
      <w:sdtPr>
        <w:rPr>
          <w:rFonts w:ascii="標楷體" w:hAnsi="標楷體"/>
        </w:rPr>
        <w:id w:val="-1451466739"/>
        <w:docPartObj>
          <w:docPartGallery w:val="Page Numbers (Bottom of Page)"/>
          <w:docPartUnique/>
        </w:docPartObj>
      </w:sdtPr>
      <w:sdtEndPr/>
      <w:sdtContent>
        <w:r w:rsidRPr="006A2BB5">
          <w:rPr>
            <w:rFonts w:ascii="標楷體" w:hAnsi="標楷體"/>
          </w:rPr>
          <w:fldChar w:fldCharType="begin"/>
        </w:r>
        <w:r w:rsidRPr="006A2BB5">
          <w:rPr>
            <w:rFonts w:ascii="標楷體" w:hAnsi="標楷體"/>
          </w:rPr>
          <w:instrText>PAGE   \* MERGEFORMAT</w:instrText>
        </w:r>
        <w:r w:rsidRPr="006A2BB5">
          <w:rPr>
            <w:rFonts w:ascii="標楷體" w:hAnsi="標楷體"/>
          </w:rPr>
          <w:fldChar w:fldCharType="separate"/>
        </w:r>
        <w:r w:rsidR="00E46BFA" w:rsidRPr="00E46BFA">
          <w:rPr>
            <w:rFonts w:ascii="標楷體" w:hAnsi="標楷體"/>
            <w:noProof/>
            <w:lang w:val="zh-TW"/>
          </w:rPr>
          <w:t>4</w:t>
        </w:r>
        <w:r w:rsidRPr="006A2BB5">
          <w:rPr>
            <w:rFonts w:ascii="標楷體" w:hAnsi="標楷體"/>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255868"/>
      <w:docPartObj>
        <w:docPartGallery w:val="Page Numbers (Bottom of Page)"/>
        <w:docPartUnique/>
      </w:docPartObj>
    </w:sdtPr>
    <w:sdtEndPr>
      <w:rPr>
        <w:rFonts w:ascii="標楷體" w:hAnsi="標楷體"/>
      </w:rPr>
    </w:sdtEndPr>
    <w:sdtContent>
      <w:p w14:paraId="5340E96A" w14:textId="05BE4932" w:rsidR="0039197C" w:rsidRPr="00A80D0A" w:rsidRDefault="00A1490A" w:rsidP="0050375A">
        <w:pPr>
          <w:pStyle w:val="a7"/>
          <w:jc w:val="center"/>
          <w:rPr>
            <w:rFonts w:ascii="標楷體" w:hAnsi="標楷體"/>
          </w:rPr>
        </w:pPr>
        <w:r w:rsidRPr="00A80D0A">
          <w:rPr>
            <w:rFonts w:ascii="標楷體" w:hAnsi="標楷體" w:hint="eastAsia"/>
          </w:rPr>
          <w:t>甲－</w:t>
        </w:r>
        <w:r w:rsidR="0039197C" w:rsidRPr="00A80D0A">
          <w:rPr>
            <w:rFonts w:ascii="標楷體" w:hAnsi="標楷體"/>
          </w:rPr>
          <w:fldChar w:fldCharType="begin"/>
        </w:r>
        <w:r w:rsidR="0039197C" w:rsidRPr="00A80D0A">
          <w:rPr>
            <w:rFonts w:ascii="標楷體" w:hAnsi="標楷體"/>
          </w:rPr>
          <w:instrText>PAGE   \* MERGEFORMAT</w:instrText>
        </w:r>
        <w:r w:rsidR="0039197C" w:rsidRPr="00A80D0A">
          <w:rPr>
            <w:rFonts w:ascii="標楷體" w:hAnsi="標楷體"/>
          </w:rPr>
          <w:fldChar w:fldCharType="separate"/>
        </w:r>
        <w:r w:rsidR="00E46BFA" w:rsidRPr="00E46BFA">
          <w:rPr>
            <w:rFonts w:ascii="標楷體" w:hAnsi="標楷體"/>
            <w:noProof/>
            <w:lang w:val="zh-TW"/>
          </w:rPr>
          <w:t>3</w:t>
        </w:r>
        <w:r w:rsidR="0039197C" w:rsidRPr="00A80D0A">
          <w:rPr>
            <w:rFonts w:ascii="標楷體" w:hAnsi="標楷體"/>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61CE6" w14:textId="77777777" w:rsidR="00933F80" w:rsidRDefault="00933F80" w:rsidP="00087D33">
      <w:r>
        <w:separator/>
      </w:r>
    </w:p>
  </w:footnote>
  <w:footnote w:type="continuationSeparator" w:id="0">
    <w:p w14:paraId="472A10BF" w14:textId="77777777" w:rsidR="00933F80" w:rsidRDefault="00933F80" w:rsidP="00087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abstractNumId w:val="24"/>
  </w:num>
  <w:num w:numId="2">
    <w:abstractNumId w:val="7"/>
  </w:num>
  <w:num w:numId="3">
    <w:abstractNumId w:val="29"/>
  </w:num>
  <w:num w:numId="4">
    <w:abstractNumId w:val="38"/>
  </w:num>
  <w:num w:numId="5">
    <w:abstractNumId w:val="10"/>
  </w:num>
  <w:num w:numId="6">
    <w:abstractNumId w:val="26"/>
  </w:num>
  <w:num w:numId="7">
    <w:abstractNumId w:val="17"/>
  </w:num>
  <w:num w:numId="8">
    <w:abstractNumId w:val="34"/>
  </w:num>
  <w:num w:numId="9">
    <w:abstractNumId w:val="36"/>
  </w:num>
  <w:num w:numId="10">
    <w:abstractNumId w:val="16"/>
  </w:num>
  <w:num w:numId="11">
    <w:abstractNumId w:val="18"/>
  </w:num>
  <w:num w:numId="12">
    <w:abstractNumId w:val="11"/>
  </w:num>
  <w:num w:numId="13">
    <w:abstractNumId w:val="21"/>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2"/>
  </w:num>
  <w:num w:numId="21">
    <w:abstractNumId w:val="14"/>
  </w:num>
  <w:num w:numId="22">
    <w:abstractNumId w:val="5"/>
  </w:num>
  <w:num w:numId="23">
    <w:abstractNumId w:val="0"/>
  </w:num>
  <w:num w:numId="24">
    <w:abstractNumId w:val="40"/>
  </w:num>
  <w:num w:numId="25">
    <w:abstractNumId w:val="9"/>
  </w:num>
  <w:num w:numId="26">
    <w:abstractNumId w:val="43"/>
  </w:num>
  <w:num w:numId="27">
    <w:abstractNumId w:val="12"/>
  </w:num>
  <w:num w:numId="28">
    <w:abstractNumId w:val="30"/>
  </w:num>
  <w:num w:numId="29">
    <w:abstractNumId w:val="15"/>
  </w:num>
  <w:num w:numId="30">
    <w:abstractNumId w:val="22"/>
  </w:num>
  <w:num w:numId="31">
    <w:abstractNumId w:val="19"/>
  </w:num>
  <w:num w:numId="32">
    <w:abstractNumId w:val="31"/>
  </w:num>
  <w:num w:numId="33">
    <w:abstractNumId w:val="41"/>
  </w:num>
  <w:num w:numId="34">
    <w:abstractNumId w:val="13"/>
  </w:num>
  <w:num w:numId="35">
    <w:abstractNumId w:val="42"/>
  </w:num>
  <w:num w:numId="36">
    <w:abstractNumId w:val="33"/>
  </w:num>
  <w:num w:numId="37">
    <w:abstractNumId w:val="39"/>
  </w:num>
  <w:num w:numId="38">
    <w:abstractNumId w:val="4"/>
  </w:num>
  <w:num w:numId="39">
    <w:abstractNumId w:val="2"/>
  </w:num>
  <w:num w:numId="40">
    <w:abstractNumId w:val="37"/>
  </w:num>
  <w:num w:numId="41">
    <w:abstractNumId w:val="27"/>
  </w:num>
  <w:num w:numId="42">
    <w:abstractNumId w:val="35"/>
  </w:num>
  <w:num w:numId="43">
    <w:abstractNumId w:val="45"/>
  </w:num>
  <w:num w:numId="44">
    <w:abstractNumId w:val="28"/>
  </w:num>
  <w:num w:numId="45">
    <w:abstractNumId w:val="8"/>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bordersDoNotSurroundHeader/>
  <w:bordersDoNotSurroundFooter/>
  <w:hideSpellingErrors/>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B42"/>
    <w:rsid w:val="000015EF"/>
    <w:rsid w:val="0000268E"/>
    <w:rsid w:val="00002FE8"/>
    <w:rsid w:val="0000562E"/>
    <w:rsid w:val="000063D6"/>
    <w:rsid w:val="00014BBF"/>
    <w:rsid w:val="00015D21"/>
    <w:rsid w:val="00027269"/>
    <w:rsid w:val="0004133E"/>
    <w:rsid w:val="000453FA"/>
    <w:rsid w:val="00046EAE"/>
    <w:rsid w:val="00047A5C"/>
    <w:rsid w:val="00047F9C"/>
    <w:rsid w:val="00053399"/>
    <w:rsid w:val="00054139"/>
    <w:rsid w:val="00054345"/>
    <w:rsid w:val="0006109D"/>
    <w:rsid w:val="000614FA"/>
    <w:rsid w:val="00064A0D"/>
    <w:rsid w:val="00074C85"/>
    <w:rsid w:val="00077F53"/>
    <w:rsid w:val="00086833"/>
    <w:rsid w:val="00087533"/>
    <w:rsid w:val="00087706"/>
    <w:rsid w:val="00087D33"/>
    <w:rsid w:val="00090870"/>
    <w:rsid w:val="00096107"/>
    <w:rsid w:val="000A07F4"/>
    <w:rsid w:val="000A4B95"/>
    <w:rsid w:val="000A5108"/>
    <w:rsid w:val="000A515E"/>
    <w:rsid w:val="000A6892"/>
    <w:rsid w:val="000A694A"/>
    <w:rsid w:val="000A726B"/>
    <w:rsid w:val="000B59E8"/>
    <w:rsid w:val="000B5CCB"/>
    <w:rsid w:val="000B7745"/>
    <w:rsid w:val="000C36A9"/>
    <w:rsid w:val="000C5047"/>
    <w:rsid w:val="000C6BAD"/>
    <w:rsid w:val="000C6C28"/>
    <w:rsid w:val="000D5D28"/>
    <w:rsid w:val="000D7433"/>
    <w:rsid w:val="000E266A"/>
    <w:rsid w:val="000E3D9E"/>
    <w:rsid w:val="000F1ECA"/>
    <w:rsid w:val="000F2D36"/>
    <w:rsid w:val="000F472C"/>
    <w:rsid w:val="000F56AC"/>
    <w:rsid w:val="00106A5D"/>
    <w:rsid w:val="001213BC"/>
    <w:rsid w:val="0012563A"/>
    <w:rsid w:val="00125934"/>
    <w:rsid w:val="00140A11"/>
    <w:rsid w:val="00143516"/>
    <w:rsid w:val="00151810"/>
    <w:rsid w:val="0015325B"/>
    <w:rsid w:val="00154866"/>
    <w:rsid w:val="00154B34"/>
    <w:rsid w:val="00155EE6"/>
    <w:rsid w:val="00156076"/>
    <w:rsid w:val="00156A98"/>
    <w:rsid w:val="00161718"/>
    <w:rsid w:val="0016264F"/>
    <w:rsid w:val="00162B72"/>
    <w:rsid w:val="0017491C"/>
    <w:rsid w:val="00176192"/>
    <w:rsid w:val="00182BDC"/>
    <w:rsid w:val="001848F7"/>
    <w:rsid w:val="001A4AFC"/>
    <w:rsid w:val="001A4E03"/>
    <w:rsid w:val="001B072B"/>
    <w:rsid w:val="001B2AC4"/>
    <w:rsid w:val="001B2F58"/>
    <w:rsid w:val="001B31A3"/>
    <w:rsid w:val="001B34EB"/>
    <w:rsid w:val="001B40F4"/>
    <w:rsid w:val="001B587B"/>
    <w:rsid w:val="001D1997"/>
    <w:rsid w:val="001D2FBB"/>
    <w:rsid w:val="001D4F2C"/>
    <w:rsid w:val="001E00EA"/>
    <w:rsid w:val="001E2D59"/>
    <w:rsid w:val="001E627D"/>
    <w:rsid w:val="001E790E"/>
    <w:rsid w:val="001E79F2"/>
    <w:rsid w:val="002028AA"/>
    <w:rsid w:val="00203B45"/>
    <w:rsid w:val="00207D59"/>
    <w:rsid w:val="0021058E"/>
    <w:rsid w:val="00210789"/>
    <w:rsid w:val="00211736"/>
    <w:rsid w:val="00212683"/>
    <w:rsid w:val="00213E0E"/>
    <w:rsid w:val="00222AA0"/>
    <w:rsid w:val="00223E57"/>
    <w:rsid w:val="00224E8D"/>
    <w:rsid w:val="002277FA"/>
    <w:rsid w:val="00234C35"/>
    <w:rsid w:val="00236DAB"/>
    <w:rsid w:val="00247517"/>
    <w:rsid w:val="00253115"/>
    <w:rsid w:val="002535C3"/>
    <w:rsid w:val="00257E15"/>
    <w:rsid w:val="00263F02"/>
    <w:rsid w:val="00264929"/>
    <w:rsid w:val="00265975"/>
    <w:rsid w:val="00270C49"/>
    <w:rsid w:val="002824ED"/>
    <w:rsid w:val="00283607"/>
    <w:rsid w:val="00291AED"/>
    <w:rsid w:val="00292A68"/>
    <w:rsid w:val="00292F73"/>
    <w:rsid w:val="00294CB7"/>
    <w:rsid w:val="00294DD0"/>
    <w:rsid w:val="002958B0"/>
    <w:rsid w:val="0029639F"/>
    <w:rsid w:val="002A208D"/>
    <w:rsid w:val="002A49A7"/>
    <w:rsid w:val="002B1683"/>
    <w:rsid w:val="002B35B0"/>
    <w:rsid w:val="002C3F3A"/>
    <w:rsid w:val="002C6910"/>
    <w:rsid w:val="002C72F6"/>
    <w:rsid w:val="002D40A4"/>
    <w:rsid w:val="002F0EFA"/>
    <w:rsid w:val="002F1694"/>
    <w:rsid w:val="002F2AA3"/>
    <w:rsid w:val="002F561A"/>
    <w:rsid w:val="003016CB"/>
    <w:rsid w:val="003054EC"/>
    <w:rsid w:val="00311B27"/>
    <w:rsid w:val="00314C9D"/>
    <w:rsid w:val="003165EC"/>
    <w:rsid w:val="0032075D"/>
    <w:rsid w:val="00327FBF"/>
    <w:rsid w:val="0033207D"/>
    <w:rsid w:val="00333B6F"/>
    <w:rsid w:val="003344FA"/>
    <w:rsid w:val="00337CB8"/>
    <w:rsid w:val="00340007"/>
    <w:rsid w:val="00344C59"/>
    <w:rsid w:val="00347F0A"/>
    <w:rsid w:val="00350B44"/>
    <w:rsid w:val="0035315C"/>
    <w:rsid w:val="003559B9"/>
    <w:rsid w:val="003645F7"/>
    <w:rsid w:val="0036464E"/>
    <w:rsid w:val="003706CD"/>
    <w:rsid w:val="0037297C"/>
    <w:rsid w:val="00377AB9"/>
    <w:rsid w:val="003823B9"/>
    <w:rsid w:val="00382B80"/>
    <w:rsid w:val="003875D3"/>
    <w:rsid w:val="0039197C"/>
    <w:rsid w:val="00393004"/>
    <w:rsid w:val="00396375"/>
    <w:rsid w:val="003977D7"/>
    <w:rsid w:val="003A3845"/>
    <w:rsid w:val="003B2B85"/>
    <w:rsid w:val="003B501E"/>
    <w:rsid w:val="003C2671"/>
    <w:rsid w:val="003D514B"/>
    <w:rsid w:val="003E1BA2"/>
    <w:rsid w:val="003F2146"/>
    <w:rsid w:val="003F58DF"/>
    <w:rsid w:val="003F69FE"/>
    <w:rsid w:val="003F75A8"/>
    <w:rsid w:val="003F764B"/>
    <w:rsid w:val="00403C1B"/>
    <w:rsid w:val="00404BD0"/>
    <w:rsid w:val="004056E9"/>
    <w:rsid w:val="004076EF"/>
    <w:rsid w:val="00410DDA"/>
    <w:rsid w:val="0041630F"/>
    <w:rsid w:val="004227EA"/>
    <w:rsid w:val="00425F1A"/>
    <w:rsid w:val="0043509C"/>
    <w:rsid w:val="004433B4"/>
    <w:rsid w:val="0044603B"/>
    <w:rsid w:val="00450E55"/>
    <w:rsid w:val="00451450"/>
    <w:rsid w:val="00452ED9"/>
    <w:rsid w:val="00455DDB"/>
    <w:rsid w:val="00456C1E"/>
    <w:rsid w:val="00457D10"/>
    <w:rsid w:val="00457D1E"/>
    <w:rsid w:val="004622F1"/>
    <w:rsid w:val="004657A5"/>
    <w:rsid w:val="004720A2"/>
    <w:rsid w:val="00484F13"/>
    <w:rsid w:val="00486286"/>
    <w:rsid w:val="0049181B"/>
    <w:rsid w:val="00491AA4"/>
    <w:rsid w:val="0049484E"/>
    <w:rsid w:val="004A2689"/>
    <w:rsid w:val="004A7F7E"/>
    <w:rsid w:val="004C510A"/>
    <w:rsid w:val="004C6FA5"/>
    <w:rsid w:val="004D724C"/>
    <w:rsid w:val="004E09A3"/>
    <w:rsid w:val="004E393A"/>
    <w:rsid w:val="004E6C6F"/>
    <w:rsid w:val="004F2248"/>
    <w:rsid w:val="0050273E"/>
    <w:rsid w:val="0050375A"/>
    <w:rsid w:val="00505006"/>
    <w:rsid w:val="00513AA4"/>
    <w:rsid w:val="00517C6C"/>
    <w:rsid w:val="00520ADF"/>
    <w:rsid w:val="00524003"/>
    <w:rsid w:val="0053435B"/>
    <w:rsid w:val="00534560"/>
    <w:rsid w:val="0053620A"/>
    <w:rsid w:val="0054202E"/>
    <w:rsid w:val="00553E31"/>
    <w:rsid w:val="00561839"/>
    <w:rsid w:val="00566EE6"/>
    <w:rsid w:val="00572D74"/>
    <w:rsid w:val="00573686"/>
    <w:rsid w:val="00576727"/>
    <w:rsid w:val="00580D28"/>
    <w:rsid w:val="00587450"/>
    <w:rsid w:val="00590020"/>
    <w:rsid w:val="00591C3B"/>
    <w:rsid w:val="005958DF"/>
    <w:rsid w:val="005A085F"/>
    <w:rsid w:val="005A2643"/>
    <w:rsid w:val="005A7505"/>
    <w:rsid w:val="005B1358"/>
    <w:rsid w:val="005C0A41"/>
    <w:rsid w:val="005C2B42"/>
    <w:rsid w:val="005D7538"/>
    <w:rsid w:val="005E269A"/>
    <w:rsid w:val="005E4486"/>
    <w:rsid w:val="005F6C70"/>
    <w:rsid w:val="00602218"/>
    <w:rsid w:val="00607F3F"/>
    <w:rsid w:val="00607FC5"/>
    <w:rsid w:val="00613B79"/>
    <w:rsid w:val="00622967"/>
    <w:rsid w:val="00626746"/>
    <w:rsid w:val="006270C5"/>
    <w:rsid w:val="006302A4"/>
    <w:rsid w:val="00630530"/>
    <w:rsid w:val="0063641C"/>
    <w:rsid w:val="006429C0"/>
    <w:rsid w:val="00650715"/>
    <w:rsid w:val="00650B43"/>
    <w:rsid w:val="00651084"/>
    <w:rsid w:val="006524D1"/>
    <w:rsid w:val="00657B9B"/>
    <w:rsid w:val="0066460A"/>
    <w:rsid w:val="00664BFA"/>
    <w:rsid w:val="00665B46"/>
    <w:rsid w:val="00667BEF"/>
    <w:rsid w:val="00676434"/>
    <w:rsid w:val="006772E1"/>
    <w:rsid w:val="006816EE"/>
    <w:rsid w:val="00692EF9"/>
    <w:rsid w:val="00693B1C"/>
    <w:rsid w:val="00693C8C"/>
    <w:rsid w:val="0069701B"/>
    <w:rsid w:val="006A28BF"/>
    <w:rsid w:val="006A2BB5"/>
    <w:rsid w:val="006A3518"/>
    <w:rsid w:val="006A3584"/>
    <w:rsid w:val="006A4D53"/>
    <w:rsid w:val="006A5381"/>
    <w:rsid w:val="006A7A10"/>
    <w:rsid w:val="006B087B"/>
    <w:rsid w:val="006B353C"/>
    <w:rsid w:val="006B44A6"/>
    <w:rsid w:val="006C20F3"/>
    <w:rsid w:val="006C4CC4"/>
    <w:rsid w:val="006C58A0"/>
    <w:rsid w:val="006C6054"/>
    <w:rsid w:val="006C7DE0"/>
    <w:rsid w:val="006D13FB"/>
    <w:rsid w:val="006D290D"/>
    <w:rsid w:val="006D3F50"/>
    <w:rsid w:val="006D54CD"/>
    <w:rsid w:val="006D5635"/>
    <w:rsid w:val="006D6039"/>
    <w:rsid w:val="006D6692"/>
    <w:rsid w:val="006F66CE"/>
    <w:rsid w:val="007004DC"/>
    <w:rsid w:val="00701AFF"/>
    <w:rsid w:val="00701C53"/>
    <w:rsid w:val="0070588F"/>
    <w:rsid w:val="00711BED"/>
    <w:rsid w:val="00712E8D"/>
    <w:rsid w:val="00714925"/>
    <w:rsid w:val="007250D4"/>
    <w:rsid w:val="007324D7"/>
    <w:rsid w:val="00734FB5"/>
    <w:rsid w:val="00737137"/>
    <w:rsid w:val="00740DD9"/>
    <w:rsid w:val="007421F2"/>
    <w:rsid w:val="007433DB"/>
    <w:rsid w:val="00763BD3"/>
    <w:rsid w:val="0076693D"/>
    <w:rsid w:val="00766FDB"/>
    <w:rsid w:val="00771B5D"/>
    <w:rsid w:val="007752AF"/>
    <w:rsid w:val="00781D81"/>
    <w:rsid w:val="00783FD5"/>
    <w:rsid w:val="007862E5"/>
    <w:rsid w:val="00790E61"/>
    <w:rsid w:val="00797FF9"/>
    <w:rsid w:val="007A514D"/>
    <w:rsid w:val="007B7B86"/>
    <w:rsid w:val="007C22A7"/>
    <w:rsid w:val="007C6035"/>
    <w:rsid w:val="007C6262"/>
    <w:rsid w:val="007D0965"/>
    <w:rsid w:val="007D0DF8"/>
    <w:rsid w:val="007D403A"/>
    <w:rsid w:val="007D55C0"/>
    <w:rsid w:val="007E6033"/>
    <w:rsid w:val="007F6E24"/>
    <w:rsid w:val="007F7D4C"/>
    <w:rsid w:val="008055DB"/>
    <w:rsid w:val="0081298E"/>
    <w:rsid w:val="0081627C"/>
    <w:rsid w:val="008260DF"/>
    <w:rsid w:val="008275D9"/>
    <w:rsid w:val="0083122F"/>
    <w:rsid w:val="00832BAA"/>
    <w:rsid w:val="00833729"/>
    <w:rsid w:val="00844376"/>
    <w:rsid w:val="008464D1"/>
    <w:rsid w:val="00846E89"/>
    <w:rsid w:val="00853CEC"/>
    <w:rsid w:val="00855322"/>
    <w:rsid w:val="008562FC"/>
    <w:rsid w:val="00860DFD"/>
    <w:rsid w:val="008615E6"/>
    <w:rsid w:val="0087437C"/>
    <w:rsid w:val="00881EF6"/>
    <w:rsid w:val="00883531"/>
    <w:rsid w:val="00890ABC"/>
    <w:rsid w:val="008917E8"/>
    <w:rsid w:val="008A2934"/>
    <w:rsid w:val="008A5ED0"/>
    <w:rsid w:val="008A700A"/>
    <w:rsid w:val="008B0ABD"/>
    <w:rsid w:val="008B2004"/>
    <w:rsid w:val="008B6F50"/>
    <w:rsid w:val="008D49D9"/>
    <w:rsid w:val="008D52A3"/>
    <w:rsid w:val="008E42D5"/>
    <w:rsid w:val="008F5E95"/>
    <w:rsid w:val="00900665"/>
    <w:rsid w:val="00901BFA"/>
    <w:rsid w:val="0090431F"/>
    <w:rsid w:val="00912DA3"/>
    <w:rsid w:val="0091510E"/>
    <w:rsid w:val="00915B24"/>
    <w:rsid w:val="0091707A"/>
    <w:rsid w:val="00926898"/>
    <w:rsid w:val="00933F80"/>
    <w:rsid w:val="00934476"/>
    <w:rsid w:val="009413B4"/>
    <w:rsid w:val="00941A7E"/>
    <w:rsid w:val="0094300C"/>
    <w:rsid w:val="009505B4"/>
    <w:rsid w:val="009578DA"/>
    <w:rsid w:val="0096120A"/>
    <w:rsid w:val="0096400B"/>
    <w:rsid w:val="00967791"/>
    <w:rsid w:val="009708A9"/>
    <w:rsid w:val="009747C5"/>
    <w:rsid w:val="009747C9"/>
    <w:rsid w:val="009750BD"/>
    <w:rsid w:val="00976C44"/>
    <w:rsid w:val="009914D2"/>
    <w:rsid w:val="00991D21"/>
    <w:rsid w:val="009973CA"/>
    <w:rsid w:val="009A09E3"/>
    <w:rsid w:val="009A1166"/>
    <w:rsid w:val="009A2556"/>
    <w:rsid w:val="009A30BF"/>
    <w:rsid w:val="009A333D"/>
    <w:rsid w:val="009A4163"/>
    <w:rsid w:val="009A6AD6"/>
    <w:rsid w:val="009A7DFF"/>
    <w:rsid w:val="009B2214"/>
    <w:rsid w:val="009B446F"/>
    <w:rsid w:val="009B796C"/>
    <w:rsid w:val="009B7BE4"/>
    <w:rsid w:val="009C1852"/>
    <w:rsid w:val="009C5819"/>
    <w:rsid w:val="009C68DC"/>
    <w:rsid w:val="009D1158"/>
    <w:rsid w:val="009D156C"/>
    <w:rsid w:val="009D4AC1"/>
    <w:rsid w:val="009D6BB3"/>
    <w:rsid w:val="009E227A"/>
    <w:rsid w:val="009E49A4"/>
    <w:rsid w:val="009F128D"/>
    <w:rsid w:val="009F150A"/>
    <w:rsid w:val="009F32F5"/>
    <w:rsid w:val="00A06D1C"/>
    <w:rsid w:val="00A07BBD"/>
    <w:rsid w:val="00A1091E"/>
    <w:rsid w:val="00A1187B"/>
    <w:rsid w:val="00A130AF"/>
    <w:rsid w:val="00A1377F"/>
    <w:rsid w:val="00A1490A"/>
    <w:rsid w:val="00A15478"/>
    <w:rsid w:val="00A164F5"/>
    <w:rsid w:val="00A20392"/>
    <w:rsid w:val="00A257E9"/>
    <w:rsid w:val="00A2791A"/>
    <w:rsid w:val="00A340C6"/>
    <w:rsid w:val="00A400BD"/>
    <w:rsid w:val="00A463F3"/>
    <w:rsid w:val="00A51C5C"/>
    <w:rsid w:val="00A55FD6"/>
    <w:rsid w:val="00A56E23"/>
    <w:rsid w:val="00A61B29"/>
    <w:rsid w:val="00A75B37"/>
    <w:rsid w:val="00A76BFE"/>
    <w:rsid w:val="00A80D0A"/>
    <w:rsid w:val="00A96BEF"/>
    <w:rsid w:val="00AA1F6A"/>
    <w:rsid w:val="00AA20B6"/>
    <w:rsid w:val="00AA5689"/>
    <w:rsid w:val="00AB5646"/>
    <w:rsid w:val="00AB6546"/>
    <w:rsid w:val="00AC355C"/>
    <w:rsid w:val="00AC4F60"/>
    <w:rsid w:val="00AC5DB7"/>
    <w:rsid w:val="00AC6961"/>
    <w:rsid w:val="00AC7636"/>
    <w:rsid w:val="00AD5112"/>
    <w:rsid w:val="00AD69C8"/>
    <w:rsid w:val="00AE5AC3"/>
    <w:rsid w:val="00AE7E6D"/>
    <w:rsid w:val="00AF2934"/>
    <w:rsid w:val="00AF5DC6"/>
    <w:rsid w:val="00B00373"/>
    <w:rsid w:val="00B0505C"/>
    <w:rsid w:val="00B122F9"/>
    <w:rsid w:val="00B273F4"/>
    <w:rsid w:val="00B34E18"/>
    <w:rsid w:val="00B527F2"/>
    <w:rsid w:val="00B65A08"/>
    <w:rsid w:val="00B661D3"/>
    <w:rsid w:val="00B67F20"/>
    <w:rsid w:val="00B72F9B"/>
    <w:rsid w:val="00B831A3"/>
    <w:rsid w:val="00B96D68"/>
    <w:rsid w:val="00B97710"/>
    <w:rsid w:val="00BA11B9"/>
    <w:rsid w:val="00BA7502"/>
    <w:rsid w:val="00BB1777"/>
    <w:rsid w:val="00BB2287"/>
    <w:rsid w:val="00BB243C"/>
    <w:rsid w:val="00BC1AB9"/>
    <w:rsid w:val="00BC4E5C"/>
    <w:rsid w:val="00BC5B32"/>
    <w:rsid w:val="00BC5B52"/>
    <w:rsid w:val="00BD3107"/>
    <w:rsid w:val="00BD3892"/>
    <w:rsid w:val="00BD67AC"/>
    <w:rsid w:val="00BD72A2"/>
    <w:rsid w:val="00BE4472"/>
    <w:rsid w:val="00BE74B1"/>
    <w:rsid w:val="00BF270C"/>
    <w:rsid w:val="00BF2C6D"/>
    <w:rsid w:val="00BF5DEA"/>
    <w:rsid w:val="00BF678C"/>
    <w:rsid w:val="00C01B5B"/>
    <w:rsid w:val="00C05E85"/>
    <w:rsid w:val="00C066B1"/>
    <w:rsid w:val="00C068C7"/>
    <w:rsid w:val="00C12007"/>
    <w:rsid w:val="00C201B9"/>
    <w:rsid w:val="00C20E04"/>
    <w:rsid w:val="00C22E96"/>
    <w:rsid w:val="00C25B95"/>
    <w:rsid w:val="00C26F57"/>
    <w:rsid w:val="00C33423"/>
    <w:rsid w:val="00C33594"/>
    <w:rsid w:val="00C3542D"/>
    <w:rsid w:val="00C41C7A"/>
    <w:rsid w:val="00C5275E"/>
    <w:rsid w:val="00C620C1"/>
    <w:rsid w:val="00C63E1B"/>
    <w:rsid w:val="00C666BD"/>
    <w:rsid w:val="00C75590"/>
    <w:rsid w:val="00C82C1B"/>
    <w:rsid w:val="00C84391"/>
    <w:rsid w:val="00C91F6B"/>
    <w:rsid w:val="00C9417E"/>
    <w:rsid w:val="00CA13D3"/>
    <w:rsid w:val="00CA7085"/>
    <w:rsid w:val="00CB028B"/>
    <w:rsid w:val="00CB040C"/>
    <w:rsid w:val="00CB1CFD"/>
    <w:rsid w:val="00CB3AEC"/>
    <w:rsid w:val="00CC7E7C"/>
    <w:rsid w:val="00CD42E7"/>
    <w:rsid w:val="00CD581F"/>
    <w:rsid w:val="00CD5996"/>
    <w:rsid w:val="00CD7018"/>
    <w:rsid w:val="00CD7D6A"/>
    <w:rsid w:val="00CE0953"/>
    <w:rsid w:val="00CE17C5"/>
    <w:rsid w:val="00CE7821"/>
    <w:rsid w:val="00CF18A2"/>
    <w:rsid w:val="00CF205D"/>
    <w:rsid w:val="00CF2E5F"/>
    <w:rsid w:val="00D019DA"/>
    <w:rsid w:val="00D024E5"/>
    <w:rsid w:val="00D048B3"/>
    <w:rsid w:val="00D104FE"/>
    <w:rsid w:val="00D15A6E"/>
    <w:rsid w:val="00D16B5F"/>
    <w:rsid w:val="00D16D97"/>
    <w:rsid w:val="00D2095E"/>
    <w:rsid w:val="00D21727"/>
    <w:rsid w:val="00D22B81"/>
    <w:rsid w:val="00D243A2"/>
    <w:rsid w:val="00D25A7A"/>
    <w:rsid w:val="00D2786E"/>
    <w:rsid w:val="00D30E0B"/>
    <w:rsid w:val="00D33AFC"/>
    <w:rsid w:val="00D33F58"/>
    <w:rsid w:val="00D36263"/>
    <w:rsid w:val="00D4253C"/>
    <w:rsid w:val="00D4302C"/>
    <w:rsid w:val="00D45D62"/>
    <w:rsid w:val="00D61029"/>
    <w:rsid w:val="00D744BF"/>
    <w:rsid w:val="00D8095F"/>
    <w:rsid w:val="00D837B0"/>
    <w:rsid w:val="00D852D9"/>
    <w:rsid w:val="00D90362"/>
    <w:rsid w:val="00D90953"/>
    <w:rsid w:val="00D9591E"/>
    <w:rsid w:val="00DA0760"/>
    <w:rsid w:val="00DA5501"/>
    <w:rsid w:val="00DB7A56"/>
    <w:rsid w:val="00DC042B"/>
    <w:rsid w:val="00DC36B8"/>
    <w:rsid w:val="00DD0013"/>
    <w:rsid w:val="00DE0AC9"/>
    <w:rsid w:val="00DE0EB0"/>
    <w:rsid w:val="00DE67F7"/>
    <w:rsid w:val="00DF320A"/>
    <w:rsid w:val="00E02A04"/>
    <w:rsid w:val="00E04F01"/>
    <w:rsid w:val="00E108E1"/>
    <w:rsid w:val="00E10DFA"/>
    <w:rsid w:val="00E35F29"/>
    <w:rsid w:val="00E468E2"/>
    <w:rsid w:val="00E46BFA"/>
    <w:rsid w:val="00E52459"/>
    <w:rsid w:val="00E557FB"/>
    <w:rsid w:val="00E641A8"/>
    <w:rsid w:val="00E65A69"/>
    <w:rsid w:val="00E814E9"/>
    <w:rsid w:val="00EA42F4"/>
    <w:rsid w:val="00EA7544"/>
    <w:rsid w:val="00EA7C6A"/>
    <w:rsid w:val="00EB086D"/>
    <w:rsid w:val="00EB492A"/>
    <w:rsid w:val="00EC7756"/>
    <w:rsid w:val="00ED1BCA"/>
    <w:rsid w:val="00ED22D3"/>
    <w:rsid w:val="00ED38A0"/>
    <w:rsid w:val="00ED52AF"/>
    <w:rsid w:val="00EE0C62"/>
    <w:rsid w:val="00EE248C"/>
    <w:rsid w:val="00EE7B02"/>
    <w:rsid w:val="00EF0617"/>
    <w:rsid w:val="00EF09B9"/>
    <w:rsid w:val="00F0169A"/>
    <w:rsid w:val="00F01C80"/>
    <w:rsid w:val="00F01DDC"/>
    <w:rsid w:val="00F06496"/>
    <w:rsid w:val="00F06D1D"/>
    <w:rsid w:val="00F10324"/>
    <w:rsid w:val="00F104C5"/>
    <w:rsid w:val="00F11552"/>
    <w:rsid w:val="00F143CD"/>
    <w:rsid w:val="00F15CD9"/>
    <w:rsid w:val="00F1617E"/>
    <w:rsid w:val="00F252CD"/>
    <w:rsid w:val="00F27EE9"/>
    <w:rsid w:val="00F33FB7"/>
    <w:rsid w:val="00F35009"/>
    <w:rsid w:val="00F35047"/>
    <w:rsid w:val="00F37343"/>
    <w:rsid w:val="00F42BDE"/>
    <w:rsid w:val="00F47FA2"/>
    <w:rsid w:val="00F532A5"/>
    <w:rsid w:val="00F607FB"/>
    <w:rsid w:val="00F628C3"/>
    <w:rsid w:val="00F65FBF"/>
    <w:rsid w:val="00F739C7"/>
    <w:rsid w:val="00F75FE6"/>
    <w:rsid w:val="00F911A8"/>
    <w:rsid w:val="00F93D41"/>
    <w:rsid w:val="00F94840"/>
    <w:rsid w:val="00FA1FFD"/>
    <w:rsid w:val="00FA3334"/>
    <w:rsid w:val="00FB2205"/>
    <w:rsid w:val="00FB2BEB"/>
    <w:rsid w:val="00FB7F7F"/>
    <w:rsid w:val="00FC22A1"/>
    <w:rsid w:val="00FC33DE"/>
    <w:rsid w:val="00FD096B"/>
    <w:rsid w:val="00FD6BCC"/>
    <w:rsid w:val="00FE3443"/>
    <w:rsid w:val="00FF57C1"/>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93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9"/>
    <w:uiPriority w:val="59"/>
    <w:rsid w:val="007D403A"/>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 w:type="paragraph" w:customStyle="1" w:styleId="aff9">
    <w:name w:val="標題一、 字元 字元 字元"/>
    <w:basedOn w:val="af"/>
    <w:link w:val="affa"/>
    <w:rsid w:val="002028AA"/>
    <w:pPr>
      <w:spacing w:beforeLines="20" w:afterLines="20" w:line="400" w:lineRule="exact"/>
      <w:ind w:leftChars="100" w:left="310" w:hangingChars="210" w:hanging="210"/>
      <w:jc w:val="both"/>
    </w:pPr>
    <w:rPr>
      <w:sz w:val="32"/>
      <w:szCs w:val="32"/>
    </w:rPr>
  </w:style>
  <w:style w:type="character" w:customStyle="1" w:styleId="affa">
    <w:name w:val="標題一、 字元 字元 字元 字元"/>
    <w:basedOn w:val="a0"/>
    <w:link w:val="aff9"/>
    <w:rsid w:val="002028AA"/>
    <w:rPr>
      <w:rFonts w:cs="新細明體"/>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9"/>
    <w:uiPriority w:val="59"/>
    <w:rsid w:val="007D403A"/>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 w:type="paragraph" w:customStyle="1" w:styleId="aff9">
    <w:name w:val="標題一、 字元 字元 字元"/>
    <w:basedOn w:val="af"/>
    <w:link w:val="affa"/>
    <w:rsid w:val="002028AA"/>
    <w:pPr>
      <w:spacing w:beforeLines="20" w:afterLines="20" w:line="400" w:lineRule="exact"/>
      <w:ind w:leftChars="100" w:left="310" w:hangingChars="210" w:hanging="210"/>
      <w:jc w:val="both"/>
    </w:pPr>
    <w:rPr>
      <w:sz w:val="32"/>
      <w:szCs w:val="32"/>
    </w:rPr>
  </w:style>
  <w:style w:type="character" w:customStyle="1" w:styleId="affa">
    <w:name w:val="標題一、 字元 字元 字元 字元"/>
    <w:basedOn w:val="a0"/>
    <w:link w:val="aff9"/>
    <w:rsid w:val="002028AA"/>
    <w:rPr>
      <w:rFonts w:cs="新細明體"/>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___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gn="ctr">
              <a:defRPr sz="1200"/>
            </a:pPr>
            <a:r>
              <a:rPr lang="en-US" altLang="zh-TW" sz="1200">
                <a:latin typeface="標楷體" panose="03000509000000000000" pitchFamily="65" charset="-120"/>
                <a:ea typeface="標楷體" panose="03000509000000000000" pitchFamily="65" charset="-120"/>
              </a:rPr>
              <a:t>110</a:t>
            </a:r>
            <a:r>
              <a:rPr lang="zh-TW" altLang="en-US" sz="1200">
                <a:latin typeface="標楷體" panose="03000509000000000000" pitchFamily="65" charset="-120"/>
                <a:ea typeface="標楷體" panose="03000509000000000000" pitchFamily="65" charset="-120"/>
              </a:rPr>
              <a:t>年度盈餘分配</a:t>
            </a:r>
          </a:p>
        </c:rich>
      </c:tx>
      <c:layout>
        <c:manualLayout>
          <c:xMode val="edge"/>
          <c:yMode val="edge"/>
          <c:x val="0.39739917139437159"/>
          <c:y val="2.0498769639832127E-3"/>
        </c:manualLayout>
      </c:layout>
      <c:overlay val="0"/>
    </c:title>
    <c:autoTitleDeleted val="0"/>
    <c:view3D>
      <c:rotX val="33"/>
      <c:rotY val="40"/>
      <c:rAngAx val="0"/>
      <c:perspective val="30"/>
    </c:view3D>
    <c:floor>
      <c:thickness val="0"/>
    </c:floor>
    <c:sideWall>
      <c:thickness val="0"/>
    </c:sideWall>
    <c:backWall>
      <c:thickness val="0"/>
    </c:backWall>
    <c:plotArea>
      <c:layout>
        <c:manualLayout>
          <c:layoutTarget val="inner"/>
          <c:xMode val="edge"/>
          <c:yMode val="edge"/>
          <c:x val="0.15279642166500404"/>
          <c:y val="0.18536454084888437"/>
          <c:w val="0.68447139035766613"/>
          <c:h val="0.63222103843784849"/>
        </c:manualLayout>
      </c:layout>
      <c:pie3DChart>
        <c:varyColors val="1"/>
        <c:ser>
          <c:idx val="0"/>
          <c:order val="0"/>
          <c:dPt>
            <c:idx val="0"/>
            <c:bubble3D val="0"/>
            <c:explosion val="1"/>
            <c:spPr>
              <a:solidFill>
                <a:srgbClr val="FDA3FF"/>
              </a:solidFill>
            </c:spPr>
          </c:dPt>
          <c:dPt>
            <c:idx val="3"/>
            <c:bubble3D val="0"/>
            <c:spPr>
              <a:solidFill>
                <a:srgbClr val="81DEFF"/>
              </a:solidFill>
            </c:spPr>
          </c:dPt>
          <c:dPt>
            <c:idx val="4"/>
            <c:bubble3D val="0"/>
            <c:spPr>
              <a:solidFill>
                <a:schemeClr val="accent4">
                  <a:lumMod val="75000"/>
                </a:schemeClr>
              </a:solidFill>
            </c:spPr>
          </c:dPt>
          <c:dPt>
            <c:idx val="5"/>
            <c:bubble3D val="0"/>
            <c:spPr>
              <a:solidFill>
                <a:schemeClr val="accent6">
                  <a:lumMod val="75000"/>
                </a:schemeClr>
              </a:solidFill>
            </c:spPr>
          </c:dPt>
          <c:dLbls>
            <c:dLbl>
              <c:idx val="0"/>
              <c:layout>
                <c:manualLayout>
                  <c:x val="-0.25407314894461724"/>
                  <c:y val="-0.17437786542855888"/>
                </c:manualLayout>
              </c:layout>
              <c:tx>
                <c:rich>
                  <a:bodyPr/>
                  <a:lstStyle/>
                  <a:p>
                    <a:r>
                      <a:rPr lang="zh-TW" altLang="en-US" sz="1000"/>
                      <a:t>分配股息紅利   </a:t>
                    </a:r>
                    <a:endParaRPr lang="en-US" altLang="zh-TW" sz="1000"/>
                  </a:p>
                  <a:p>
                    <a:r>
                      <a:rPr lang="en-US" altLang="zh-TW" sz="1000"/>
                      <a:t>1,896</a:t>
                    </a:r>
                    <a:r>
                      <a:rPr lang="en-US" altLang="zh-TW" sz="1000" b="0" i="0" u="none" strike="noStrike" baseline="0">
                        <a:effectLst/>
                      </a:rPr>
                      <a:t>(52.69</a:t>
                    </a:r>
                    <a:r>
                      <a:rPr lang="zh-TW" altLang="zh-TW" sz="1000" b="0" i="0" u="none" strike="noStrike" baseline="0">
                        <a:effectLst/>
                      </a:rPr>
                      <a:t>％</a:t>
                    </a:r>
                    <a:r>
                      <a:rPr lang="en-US" altLang="zh-TW" sz="1000" b="0" i="0" u="none" strike="noStrike" baseline="0">
                        <a:effectLst/>
                      </a:rPr>
                      <a:t>)</a:t>
                    </a:r>
                    <a:endParaRPr lang="en-US" altLang="zh-TW" sz="1100"/>
                  </a:p>
                </c:rich>
              </c:tx>
              <c:dLblPos val="bestFit"/>
              <c:showLegendKey val="0"/>
              <c:showVal val="1"/>
              <c:showCatName val="1"/>
              <c:showSerName val="0"/>
              <c:showPercent val="1"/>
              <c:showBubbleSize val="0"/>
              <c:separator> </c:separator>
            </c:dLbl>
            <c:dLbl>
              <c:idx val="1"/>
              <c:layout>
                <c:manualLayout>
                  <c:x val="0.20130195559571448"/>
                  <c:y val="0.18233447931684596"/>
                </c:manualLayout>
              </c:layout>
              <c:tx>
                <c:rich>
                  <a:bodyPr/>
                  <a:lstStyle/>
                  <a:p>
                    <a:r>
                      <a:rPr lang="zh-TW" altLang="en-US" sz="1000"/>
                      <a:t>提撥地方政府</a:t>
                    </a:r>
                    <a:endParaRPr lang="en-US" altLang="zh-TW" sz="1000"/>
                  </a:p>
                  <a:p>
                    <a:r>
                      <a:rPr lang="en-US" altLang="zh-TW" sz="1000"/>
                      <a:t>14</a:t>
                    </a:r>
                    <a:r>
                      <a:rPr lang="en-US" altLang="zh-TW" sz="1000" b="0" i="0" u="none" strike="noStrike" baseline="0">
                        <a:effectLst/>
                      </a:rPr>
                      <a:t>(0.41</a:t>
                    </a:r>
                    <a:r>
                      <a:rPr lang="zh-TW" altLang="zh-TW" sz="1000" b="0" i="0" u="none" strike="noStrike" baseline="0">
                        <a:effectLst/>
                      </a:rPr>
                      <a:t>％</a:t>
                    </a:r>
                    <a:r>
                      <a:rPr lang="en-US" altLang="zh-TW" sz="1000" b="0" i="0" u="none" strike="noStrike" baseline="0">
                        <a:effectLst/>
                      </a:rPr>
                      <a:t>)</a:t>
                    </a:r>
                    <a:endParaRPr lang="en-US" altLang="zh-TW"/>
                  </a:p>
                </c:rich>
              </c:tx>
              <c:dLblPos val="bestFit"/>
              <c:showLegendKey val="0"/>
              <c:showVal val="1"/>
              <c:showCatName val="1"/>
              <c:showSerName val="0"/>
              <c:showPercent val="1"/>
              <c:showBubbleSize val="0"/>
              <c:separator> </c:separator>
            </c:dLbl>
            <c:dLbl>
              <c:idx val="2"/>
              <c:layout>
                <c:manualLayout>
                  <c:x val="-5.3917000129082224E-2"/>
                  <c:y val="0.10493539980037707"/>
                </c:manualLayout>
              </c:layout>
              <c:tx>
                <c:rich>
                  <a:bodyPr/>
                  <a:lstStyle/>
                  <a:p>
                    <a:r>
                      <a:rPr lang="zh-TW" altLang="en-US" sz="1000"/>
                      <a:t>其他依法分配數</a:t>
                    </a:r>
                    <a:endParaRPr lang="en-US" altLang="zh-TW" sz="1000"/>
                  </a:p>
                  <a:p>
                    <a:r>
                      <a:rPr lang="en-US" altLang="zh-TW" sz="1000" b="0" i="0" u="none" strike="noStrike" baseline="0">
                        <a:effectLst/>
                      </a:rPr>
                      <a:t>24(0.68</a:t>
                    </a:r>
                    <a:r>
                      <a:rPr lang="zh-TW" altLang="zh-TW" sz="1000" b="0" i="0" u="none" strike="noStrike" baseline="0">
                        <a:effectLst/>
                      </a:rPr>
                      <a:t>％</a:t>
                    </a:r>
                    <a:r>
                      <a:rPr lang="en-US" altLang="zh-TW" sz="1000" b="0" i="0" u="none" strike="noStrike" baseline="0">
                        <a:effectLst/>
                      </a:rPr>
                      <a:t>)</a:t>
                    </a:r>
                    <a:endParaRPr lang="en-US" altLang="zh-TW"/>
                  </a:p>
                </c:rich>
              </c:tx>
              <c:dLblPos val="bestFit"/>
              <c:showLegendKey val="0"/>
              <c:showVal val="1"/>
              <c:showCatName val="1"/>
              <c:showSerName val="0"/>
              <c:showPercent val="1"/>
              <c:showBubbleSize val="0"/>
              <c:separator> </c:separator>
            </c:dLbl>
            <c:dLbl>
              <c:idx val="3"/>
              <c:layout>
                <c:manualLayout>
                  <c:x val="0.12705806985534801"/>
                  <c:y val="-0.13571878770116655"/>
                </c:manualLayout>
              </c:layout>
              <c:tx>
                <c:rich>
                  <a:bodyPr/>
                  <a:lstStyle/>
                  <a:p>
                    <a:r>
                      <a:rPr lang="zh-TW" altLang="en-US" sz="1000" spc="0" baseline="0"/>
                      <a:t>填補累積虧損</a:t>
                    </a:r>
                    <a:endParaRPr lang="en-US" altLang="zh-TW" sz="1000" spc="0" baseline="0"/>
                  </a:p>
                  <a:p>
                    <a:r>
                      <a:rPr lang="en-US" altLang="zh-TW" sz="1000" b="0" i="0" u="none" strike="noStrike" spc="-100" baseline="0">
                        <a:effectLst/>
                      </a:rPr>
                      <a:t>259(7.20</a:t>
                    </a:r>
                    <a:r>
                      <a:rPr lang="zh-TW" altLang="zh-TW" sz="1000" b="0" i="0" u="none" strike="noStrike" spc="-100" baseline="0">
                        <a:effectLst/>
                      </a:rPr>
                      <a:t>％</a:t>
                    </a:r>
                    <a:r>
                      <a:rPr lang="en-US" altLang="zh-TW" sz="1000" b="0" i="0" u="none" strike="noStrike" spc="-100" baseline="0">
                        <a:effectLst/>
                      </a:rPr>
                      <a:t>)</a:t>
                    </a:r>
                    <a:endParaRPr lang="en-US" altLang="zh-TW" sz="1000" spc="-100" baseline="0"/>
                  </a:p>
                </c:rich>
              </c:tx>
              <c:dLblPos val="bestFit"/>
              <c:showLegendKey val="0"/>
              <c:showVal val="1"/>
              <c:showCatName val="1"/>
              <c:showSerName val="0"/>
              <c:showPercent val="1"/>
              <c:showBubbleSize val="0"/>
              <c:separator> </c:separator>
            </c:dLbl>
            <c:dLbl>
              <c:idx val="4"/>
              <c:layout>
                <c:manualLayout>
                  <c:x val="0.15291716302989797"/>
                  <c:y val="5.5795264964349091E-2"/>
                </c:manualLayout>
              </c:layout>
              <c:tx>
                <c:rich>
                  <a:bodyPr/>
                  <a:lstStyle/>
                  <a:p>
                    <a:pPr>
                      <a:defRPr sz="1000">
                        <a:solidFill>
                          <a:schemeClr val="bg1"/>
                        </a:solidFill>
                        <a:latin typeface="標楷體" panose="03000509000000000000" pitchFamily="65" charset="-120"/>
                        <a:ea typeface="標楷體" panose="03000509000000000000" pitchFamily="65" charset="-120"/>
                      </a:defRPr>
                    </a:pPr>
                    <a:r>
                      <a:rPr lang="zh-TW" altLang="en-US" sz="1000" b="0" i="0" u="none" strike="noStrike" baseline="0">
                        <a:solidFill>
                          <a:schemeClr val="bg1"/>
                        </a:solidFill>
                        <a:effectLst/>
                      </a:rPr>
                      <a:t>提存公積</a:t>
                    </a:r>
                    <a:endParaRPr lang="en-US" altLang="zh-TW" sz="1000" b="0" i="0" u="none" strike="noStrike" baseline="0">
                      <a:solidFill>
                        <a:schemeClr val="bg1"/>
                      </a:solidFill>
                      <a:effectLst/>
                    </a:endParaRPr>
                  </a:p>
                  <a:p>
                    <a:pPr>
                      <a:defRPr sz="1000">
                        <a:solidFill>
                          <a:schemeClr val="bg1"/>
                        </a:solidFill>
                        <a:latin typeface="標楷體" panose="03000509000000000000" pitchFamily="65" charset="-120"/>
                        <a:ea typeface="標楷體" panose="03000509000000000000" pitchFamily="65" charset="-120"/>
                      </a:defRPr>
                    </a:pPr>
                    <a:r>
                      <a:rPr lang="en-US" altLang="zh-TW" sz="1000" b="0" i="0" u="none" strike="noStrike" baseline="0">
                        <a:solidFill>
                          <a:schemeClr val="bg1"/>
                        </a:solidFill>
                        <a:effectLst/>
                      </a:rPr>
                      <a:t>665(18.50</a:t>
                    </a:r>
                    <a:r>
                      <a:rPr lang="zh-TW" altLang="zh-TW" sz="1000" b="0" i="0" u="none" strike="noStrike" baseline="0">
                        <a:solidFill>
                          <a:schemeClr val="bg1"/>
                        </a:solidFill>
                        <a:effectLst/>
                      </a:rPr>
                      <a:t>％</a:t>
                    </a:r>
                    <a:r>
                      <a:rPr lang="en-US" altLang="zh-TW" sz="1000" b="0" i="0" u="none" strike="noStrike" baseline="0">
                        <a:solidFill>
                          <a:schemeClr val="bg1"/>
                        </a:solidFill>
                        <a:effectLst/>
                      </a:rPr>
                      <a:t>)</a:t>
                    </a:r>
                    <a:r>
                      <a:rPr lang="en-US" altLang="zh-TW" sz="1000">
                        <a:solidFill>
                          <a:schemeClr val="bg1"/>
                        </a:solidFill>
                      </a:rPr>
                      <a:t> </a:t>
                    </a:r>
                    <a:endParaRPr lang="en-US" altLang="zh-TW">
                      <a:solidFill>
                        <a:schemeClr val="bg1"/>
                      </a:solidFill>
                    </a:endParaRPr>
                  </a:p>
                </c:rich>
              </c:tx>
              <c:spPr/>
              <c:dLblPos val="bestFit"/>
              <c:showLegendKey val="0"/>
              <c:showVal val="1"/>
              <c:showCatName val="1"/>
              <c:showSerName val="0"/>
              <c:showPercent val="1"/>
              <c:showBubbleSize val="0"/>
              <c:separator> </c:separator>
            </c:dLbl>
            <c:dLbl>
              <c:idx val="5"/>
              <c:layout>
                <c:manualLayout>
                  <c:x val="-3.4361894800050363E-2"/>
                  <c:y val="0.14486993528642925"/>
                </c:manualLayout>
              </c:layout>
              <c:tx>
                <c:rich>
                  <a:bodyPr/>
                  <a:lstStyle/>
                  <a:p>
                    <a:pPr>
                      <a:defRPr sz="1000">
                        <a:solidFill>
                          <a:schemeClr val="bg1"/>
                        </a:solidFill>
                        <a:latin typeface="標楷體" panose="03000509000000000000" pitchFamily="65" charset="-120"/>
                        <a:ea typeface="標楷體" panose="03000509000000000000" pitchFamily="65" charset="-120"/>
                      </a:defRPr>
                    </a:pPr>
                    <a:r>
                      <a:rPr lang="zh-TW" altLang="en-US" sz="1000" b="0" i="0" u="none" strike="noStrike" baseline="0">
                        <a:solidFill>
                          <a:schemeClr val="bg1"/>
                        </a:solidFill>
                        <a:effectLst/>
                      </a:rPr>
                      <a:t>未分配盈餘</a:t>
                    </a:r>
                    <a:endParaRPr lang="en-US" altLang="zh-TW" sz="1000" b="0" i="0" u="none" strike="noStrike" baseline="0">
                      <a:solidFill>
                        <a:schemeClr val="bg1"/>
                      </a:solidFill>
                      <a:effectLst/>
                    </a:endParaRPr>
                  </a:p>
                  <a:p>
                    <a:pPr>
                      <a:defRPr sz="1000">
                        <a:solidFill>
                          <a:schemeClr val="bg1"/>
                        </a:solidFill>
                        <a:latin typeface="標楷體" panose="03000509000000000000" pitchFamily="65" charset="-120"/>
                        <a:ea typeface="標楷體" panose="03000509000000000000" pitchFamily="65" charset="-120"/>
                      </a:defRPr>
                    </a:pPr>
                    <a:r>
                      <a:rPr lang="en-US" altLang="zh-TW" sz="1000" b="0" i="0" u="none" strike="noStrike" baseline="0">
                        <a:solidFill>
                          <a:schemeClr val="bg1"/>
                        </a:solidFill>
                        <a:effectLst/>
                      </a:rPr>
                      <a:t>738(20.52</a:t>
                    </a:r>
                    <a:r>
                      <a:rPr lang="zh-TW" altLang="zh-TW" sz="1000" b="0" i="0" u="none" strike="noStrike" baseline="0">
                        <a:solidFill>
                          <a:schemeClr val="bg1"/>
                        </a:solidFill>
                        <a:effectLst/>
                      </a:rPr>
                      <a:t>％</a:t>
                    </a:r>
                    <a:r>
                      <a:rPr lang="en-US" altLang="zh-TW" sz="1000" b="0" i="0" u="none" strike="noStrike" baseline="0">
                        <a:solidFill>
                          <a:schemeClr val="bg1"/>
                        </a:solidFill>
                        <a:effectLst/>
                      </a:rPr>
                      <a:t>)</a:t>
                    </a:r>
                    <a:endParaRPr lang="en-US" altLang="zh-TW">
                      <a:solidFill>
                        <a:schemeClr val="bg1"/>
                      </a:solidFill>
                    </a:endParaRPr>
                  </a:p>
                </c:rich>
              </c:tx>
              <c:spPr/>
              <c:dLblPos val="bestFit"/>
              <c:showLegendKey val="0"/>
              <c:showVal val="1"/>
              <c:showCatName val="1"/>
              <c:showSerName val="0"/>
              <c:showPercent val="1"/>
              <c:showBubbleSize val="0"/>
              <c:separator> </c:separator>
            </c:dLbl>
            <c:txPr>
              <a:bodyPr/>
              <a:lstStyle/>
              <a:p>
                <a:pPr>
                  <a:defRPr sz="1000">
                    <a:latin typeface="標楷體" panose="03000509000000000000" pitchFamily="65" charset="-120"/>
                    <a:ea typeface="標楷體" panose="03000509000000000000" pitchFamily="65" charset="-120"/>
                  </a:defRPr>
                </a:pPr>
                <a:endParaRPr lang="zh-TW"/>
              </a:p>
            </c:txPr>
            <c:dLblPos val="bestFit"/>
            <c:showLegendKey val="0"/>
            <c:showVal val="1"/>
            <c:showCatName val="1"/>
            <c:showSerName val="0"/>
            <c:showPercent val="1"/>
            <c:showBubbleSize val="0"/>
            <c:separator> </c:separator>
            <c:showLeaderLines val="1"/>
          </c:dLbls>
          <c:cat>
            <c:strRef>
              <c:f>盈餘分配占比!$A$4:$A$9</c:f>
              <c:strCache>
                <c:ptCount val="6"/>
                <c:pt idx="0">
                  <c:v>股（官）息紅利</c:v>
                </c:pt>
                <c:pt idx="1">
                  <c:v>提撥地方政府</c:v>
                </c:pt>
                <c:pt idx="2">
                  <c:v>其他依法分配數</c:v>
                </c:pt>
                <c:pt idx="3">
                  <c:v>填補虧損</c:v>
                </c:pt>
                <c:pt idx="4">
                  <c:v>提存公積</c:v>
                </c:pt>
                <c:pt idx="5">
                  <c:v>未分配盈餘</c:v>
                </c:pt>
              </c:strCache>
            </c:strRef>
          </c:cat>
          <c:val>
            <c:numRef>
              <c:f>盈餘分配占比!$B$4:$B$9</c:f>
              <c:numCache>
                <c:formatCode>#,##0</c:formatCode>
                <c:ptCount val="6"/>
                <c:pt idx="0">
                  <c:v>189601621088</c:v>
                </c:pt>
                <c:pt idx="1">
                  <c:v>1474485665</c:v>
                </c:pt>
                <c:pt idx="2">
                  <c:v>2457476107</c:v>
                </c:pt>
                <c:pt idx="3">
                  <c:v>25913324626</c:v>
                </c:pt>
                <c:pt idx="4">
                  <c:v>66565117789</c:v>
                </c:pt>
                <c:pt idx="5">
                  <c:v>73823564976</c:v>
                </c:pt>
              </c:numCache>
            </c:numRef>
          </c:val>
        </c:ser>
        <c:dLbls>
          <c:showLegendKey val="0"/>
          <c:showVal val="0"/>
          <c:showCatName val="1"/>
          <c:showSerName val="0"/>
          <c:showPercent val="1"/>
          <c:showBubbleSize val="0"/>
          <c:showLeaderLines val="1"/>
        </c:dLbls>
      </c:pie3DChart>
    </c:plotArea>
    <c:plotVisOnly val="1"/>
    <c:dispBlanksAs val="gap"/>
    <c:showDLblsOverMax val="0"/>
  </c:chart>
  <c:spPr>
    <a:ln>
      <a:noFill/>
    </a:ln>
  </c:sp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0.75576</cdr:x>
      <cdr:y>0.10413</cdr:y>
    </cdr:from>
    <cdr:to>
      <cdr:x>1</cdr:x>
      <cdr:y>0.18272</cdr:y>
    </cdr:to>
    <cdr:sp macro="" textlink="">
      <cdr:nvSpPr>
        <cdr:cNvPr id="4" name="文字方塊 3"/>
        <cdr:cNvSpPr txBox="1"/>
      </cdr:nvSpPr>
      <cdr:spPr>
        <a:xfrm xmlns:a="http://schemas.openxmlformats.org/drawingml/2006/main">
          <a:off x="4463141" y="321354"/>
          <a:ext cx="1442359" cy="2425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單位：新臺幣億元</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C383E-2AA7-4277-91AB-3D6CFCD92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588</Words>
  <Characters>690</Characters>
  <Application>Microsoft Office Word</Application>
  <DocSecurity>0</DocSecurity>
  <Lines>23</Lines>
  <Paragraphs>15</Paragraphs>
  <ScaleCrop>false</ScaleCrop>
  <Company>Microsoft</Company>
  <LinksUpToDate>false</LinksUpToDate>
  <CharactersWithSpaces>1263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王彥文</dc:creator>
  <cp:lastModifiedBy>Amy</cp:lastModifiedBy>
  <cp:revision>7</cp:revision>
  <cp:lastPrinted>2022-07-13T03:45:00Z</cp:lastPrinted>
  <dcterms:created xsi:type="dcterms:W3CDTF">2022-07-13T05:37:00Z</dcterms:created>
  <dcterms:modified xsi:type="dcterms:W3CDTF">2022-07-20T08:41:00Z</dcterms:modified>
</cp:coreProperties>
</file>